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DC5FA" w14:textId="26CAF9F1" w:rsidR="002D1FB0" w:rsidRPr="00726BD1" w:rsidRDefault="00200BA7" w:rsidP="009A14B9">
      <w:pPr>
        <w:tabs>
          <w:tab w:val="center" w:pos="4536"/>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Pr>
          <w:rFonts w:ascii="Arial" w:hAnsi="Arial" w:cs="Arial"/>
          <w:b/>
          <w:bCs/>
          <w:sz w:val="28"/>
        </w:rPr>
        <w:t>#</w:t>
      </w:r>
      <w:r w:rsidR="00BA0703">
        <w:rPr>
          <w:rFonts w:ascii="Arial" w:hAnsi="Arial" w:cs="Arial"/>
          <w:b/>
          <w:bCs/>
          <w:sz w:val="28"/>
        </w:rPr>
        <w:t>98</w:t>
      </w:r>
      <w:r>
        <w:rPr>
          <w:rFonts w:ascii="Arial" w:hAnsi="Arial" w:cs="Arial"/>
          <w:b/>
          <w:bCs/>
          <w:sz w:val="28"/>
        </w:rPr>
        <w:tab/>
      </w:r>
      <w:r w:rsidR="001C67AC" w:rsidRPr="0052548E" w:rsidDel="001C67AC">
        <w:rPr>
          <w:rFonts w:ascii="Arial" w:hAnsi="Arial" w:cs="Arial"/>
          <w:b/>
          <w:bCs/>
          <w:sz w:val="28"/>
        </w:rPr>
        <w:t xml:space="preserve"> </w:t>
      </w:r>
      <w:r w:rsidR="002D1FB0">
        <w:rPr>
          <w:rFonts w:ascii="Arial" w:hAnsi="Arial" w:cs="Arial"/>
          <w:b/>
          <w:bCs/>
          <w:sz w:val="28"/>
        </w:rPr>
        <w:t xml:space="preserve">                    </w:t>
      </w:r>
      <w:r w:rsidR="002F3F7F">
        <w:rPr>
          <w:rFonts w:ascii="Arial" w:hAnsi="Arial" w:cs="Arial"/>
          <w:b/>
          <w:bCs/>
          <w:sz w:val="28"/>
        </w:rPr>
        <w:t xml:space="preserve">   </w:t>
      </w:r>
      <w:r w:rsidR="001B00AC">
        <w:rPr>
          <w:rFonts w:ascii="Arial" w:hAnsi="Arial" w:cs="Arial"/>
          <w:b/>
          <w:bCs/>
          <w:sz w:val="28"/>
        </w:rPr>
        <w:t xml:space="preserve">                               </w:t>
      </w:r>
      <w:r w:rsidR="009A14B9" w:rsidRPr="009A14B9">
        <w:rPr>
          <w:rFonts w:ascii="Arial" w:hAnsi="Arial" w:cs="Arial"/>
          <w:b/>
          <w:bCs/>
          <w:sz w:val="28"/>
        </w:rPr>
        <w:t>R1-1908381</w:t>
      </w:r>
      <w:r w:rsidR="00BA0703" w:rsidRPr="0074638B" w:rsidDel="0074638B">
        <w:rPr>
          <w:rFonts w:ascii="Arial" w:hAnsi="Arial" w:cs="Arial"/>
          <w:b/>
          <w:bCs/>
          <w:sz w:val="28"/>
        </w:rPr>
        <w:t xml:space="preserve"> </w:t>
      </w:r>
    </w:p>
    <w:p w14:paraId="2380CABC" w14:textId="5E5B13C0" w:rsidR="002F3F7F" w:rsidRDefault="001C67AC" w:rsidP="002F3F7F">
      <w:pPr>
        <w:tabs>
          <w:tab w:val="center" w:pos="4536"/>
          <w:tab w:val="right" w:pos="9072"/>
        </w:tabs>
        <w:spacing w:after="0"/>
        <w:rPr>
          <w:rFonts w:ascii="Arial" w:eastAsia="MS Mincho" w:hAnsi="Arial" w:cs="Arial"/>
          <w:b/>
          <w:bCs/>
          <w:sz w:val="28"/>
          <w:szCs w:val="24"/>
          <w:lang w:eastAsia="ja-JP"/>
        </w:rPr>
      </w:pPr>
      <w:r w:rsidRPr="001C67AC">
        <w:rPr>
          <w:rFonts w:ascii="Arial" w:eastAsia="MS Mincho" w:hAnsi="Arial" w:cs="Arial"/>
          <w:b/>
          <w:bCs/>
          <w:sz w:val="28"/>
          <w:lang w:eastAsia="ja-JP"/>
        </w:rPr>
        <w:t xml:space="preserve"> </w:t>
      </w:r>
      <w:r w:rsidR="00BA0703">
        <w:rPr>
          <w:rFonts w:ascii="Arial" w:eastAsia="MS Mincho" w:hAnsi="Arial" w:cs="Arial"/>
          <w:b/>
          <w:bCs/>
          <w:sz w:val="28"/>
          <w:lang w:eastAsia="ja-JP"/>
        </w:rPr>
        <w:t>Prague, CZ, August 26</w:t>
      </w:r>
      <w:r w:rsidR="00BA0703" w:rsidRPr="00BA33B5">
        <w:rPr>
          <w:rFonts w:ascii="Arial" w:eastAsia="MS Mincho" w:hAnsi="Arial" w:cs="Arial"/>
          <w:b/>
          <w:bCs/>
          <w:sz w:val="28"/>
          <w:vertAlign w:val="superscript"/>
          <w:lang w:eastAsia="ja-JP"/>
        </w:rPr>
        <w:t>th</w:t>
      </w:r>
      <w:r w:rsidR="00BA0703">
        <w:rPr>
          <w:rFonts w:ascii="Arial" w:eastAsia="MS Mincho" w:hAnsi="Arial" w:cs="Arial"/>
          <w:b/>
          <w:bCs/>
          <w:sz w:val="28"/>
          <w:lang w:eastAsia="ja-JP"/>
        </w:rPr>
        <w:t xml:space="preserve"> – 30</w:t>
      </w:r>
      <w:r w:rsidR="00BA0703" w:rsidRPr="00BA33B5">
        <w:rPr>
          <w:rFonts w:ascii="Arial" w:eastAsia="MS Mincho" w:hAnsi="Arial" w:cs="Arial"/>
          <w:b/>
          <w:bCs/>
          <w:sz w:val="28"/>
          <w:vertAlign w:val="superscript"/>
          <w:lang w:eastAsia="ja-JP"/>
        </w:rPr>
        <w:t>th</w:t>
      </w:r>
      <w:r w:rsidR="00BA0703">
        <w:rPr>
          <w:rFonts w:ascii="Arial" w:eastAsia="MS Mincho" w:hAnsi="Arial" w:cs="Arial"/>
          <w:b/>
          <w:bCs/>
          <w:sz w:val="28"/>
          <w:lang w:eastAsia="ja-JP"/>
        </w:rPr>
        <w:t>, 2019</w:t>
      </w:r>
    </w:p>
    <w:p w14:paraId="1EEE49A4" w14:textId="77777777"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14:paraId="368BED06" w14:textId="77777777"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14:paraId="3110CDDB" w14:textId="77777777"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Pr="000A385E">
        <w:rPr>
          <w:sz w:val="28"/>
          <w:szCs w:val="28"/>
          <w:lang w:eastAsia="zh-TW"/>
        </w:rPr>
        <w:t>Full Tx power UL transmission</w:t>
      </w:r>
    </w:p>
    <w:p w14:paraId="6CB619C1" w14:textId="77777777"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7.2.8.4</w:t>
      </w:r>
    </w:p>
    <w:p w14:paraId="21070118" w14:textId="77777777"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14:paraId="24C1B27D" w14:textId="77777777" w:rsidR="002D1FB0" w:rsidRDefault="002D1FB0" w:rsidP="002D1FB0">
      <w:pPr>
        <w:pStyle w:val="Heading1"/>
      </w:pPr>
      <w:r>
        <w:rPr>
          <w:rFonts w:hint="eastAsia"/>
        </w:rPr>
        <w:t>Introduction</w:t>
      </w:r>
    </w:p>
    <w:p w14:paraId="35E924CD" w14:textId="77777777" w:rsidR="005420B3" w:rsidRDefault="0048739B" w:rsidP="002D1FB0">
      <w:pPr>
        <w:rPr>
          <w:lang w:eastAsia="zh-TW"/>
        </w:rPr>
      </w:pPr>
      <w:r>
        <w:rPr>
          <w:lang w:eastAsia="zh-TW"/>
        </w:rPr>
        <w:t>A number of agreements were reached in previous meetings:</w:t>
      </w:r>
    </w:p>
    <w:p w14:paraId="338BC18C" w14:textId="77777777" w:rsidR="00377823" w:rsidRPr="00403B00" w:rsidRDefault="00377823" w:rsidP="00377823">
      <w:pPr>
        <w:rPr>
          <w:b/>
          <w:u w:val="single"/>
          <w:lang w:eastAsia="zh-TW"/>
        </w:rPr>
      </w:pPr>
      <w:r w:rsidRPr="00403B00">
        <w:rPr>
          <w:b/>
          <w:u w:val="single"/>
          <w:lang w:eastAsia="zh-TW"/>
        </w:rPr>
        <w:t>From RAN1 #</w:t>
      </w:r>
      <w:r>
        <w:rPr>
          <w:b/>
          <w:u w:val="single"/>
          <w:lang w:eastAsia="zh-TW"/>
        </w:rPr>
        <w:t>96</w:t>
      </w:r>
    </w:p>
    <w:p w14:paraId="138CF4EC" w14:textId="77777777" w:rsidR="00377823" w:rsidRPr="00FA2D78" w:rsidRDefault="00377823" w:rsidP="004D1AB6">
      <w:pPr>
        <w:spacing w:after="0"/>
        <w:rPr>
          <w:b/>
          <w:highlight w:val="green"/>
        </w:rPr>
      </w:pPr>
      <w:r w:rsidRPr="00FA2D78">
        <w:rPr>
          <w:b/>
          <w:highlight w:val="green"/>
        </w:rPr>
        <w:t>Agreement</w:t>
      </w:r>
    </w:p>
    <w:p w14:paraId="219CCC24" w14:textId="77777777" w:rsidR="00377823" w:rsidRPr="00FA2D78" w:rsidRDefault="00377823" w:rsidP="004D1AB6">
      <w:pPr>
        <w:spacing w:after="0"/>
      </w:pPr>
      <w:r w:rsidRPr="00FA2D78">
        <w:rPr>
          <w:rFonts w:hint="eastAsia"/>
        </w:rPr>
        <w:t>Note: UE capability 1</w:t>
      </w:r>
      <w:r w:rsidRPr="00FA2D78">
        <w:t>, 2, 3 agreed in RAN1#AH1901 mean the PA architectures.</w:t>
      </w:r>
    </w:p>
    <w:p w14:paraId="175042B8" w14:textId="77777777" w:rsidR="00377823" w:rsidRPr="00FA2D78" w:rsidRDefault="00377823" w:rsidP="004D1AB6">
      <w:pPr>
        <w:spacing w:after="0"/>
      </w:pPr>
      <w:r w:rsidRPr="00FA2D78">
        <w:t xml:space="preserve">At least for PC3, </w:t>
      </w:r>
      <w:r w:rsidRPr="00FA2D78">
        <w:rPr>
          <w:rFonts w:hint="eastAsia"/>
        </w:rPr>
        <w:t>UE capability 1</w:t>
      </w:r>
      <w:r w:rsidRPr="00FA2D78">
        <w:t>, 3 can support full power transmission.</w:t>
      </w:r>
    </w:p>
    <w:p w14:paraId="7D1C44D0" w14:textId="77777777" w:rsidR="00377823" w:rsidRPr="00FA2D78" w:rsidRDefault="00377823" w:rsidP="004D1AB6">
      <w:pPr>
        <w:spacing w:after="0"/>
      </w:pPr>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4088D3B4" w14:textId="77777777" w:rsidR="00377823" w:rsidRPr="00FA2D78" w:rsidRDefault="00377823" w:rsidP="00130C6D">
      <w:pPr>
        <w:numPr>
          <w:ilvl w:val="0"/>
          <w:numId w:val="17"/>
        </w:numPr>
        <w:spacing w:after="0"/>
      </w:pPr>
      <w:r w:rsidRPr="00FA2D78">
        <w:t>Companies to check for any implementation issues and/or performance of Rel-16 full power transmission compared to Rel-15 non-coherent codebook subset uplink transmission)</w:t>
      </w:r>
    </w:p>
    <w:p w14:paraId="43F75003" w14:textId="77777777" w:rsidR="00377823" w:rsidRDefault="00377823" w:rsidP="002D1FB0">
      <w:pPr>
        <w:rPr>
          <w:lang w:eastAsia="zh-TW"/>
        </w:rPr>
      </w:pPr>
    </w:p>
    <w:p w14:paraId="1052AB68" w14:textId="4E867A04" w:rsidR="00F47FA6" w:rsidRPr="00403B00" w:rsidRDefault="00F47FA6" w:rsidP="00F47FA6">
      <w:pPr>
        <w:rPr>
          <w:b/>
          <w:u w:val="single"/>
          <w:lang w:eastAsia="zh-TW"/>
        </w:rPr>
      </w:pPr>
      <w:r w:rsidRPr="00403B00">
        <w:rPr>
          <w:b/>
          <w:u w:val="single"/>
          <w:lang w:eastAsia="zh-TW"/>
        </w:rPr>
        <w:t>From RAN1 #</w:t>
      </w:r>
      <w:r>
        <w:rPr>
          <w:b/>
          <w:u w:val="single"/>
          <w:lang w:eastAsia="zh-TW"/>
        </w:rPr>
        <w:t>96b</w:t>
      </w:r>
    </w:p>
    <w:p w14:paraId="6478B993" w14:textId="77777777" w:rsidR="00F47FA6" w:rsidRPr="00AD39A8" w:rsidRDefault="00F47FA6" w:rsidP="00F5284E">
      <w:pPr>
        <w:spacing w:after="0"/>
        <w:rPr>
          <w:b/>
          <w:highlight w:val="green"/>
        </w:rPr>
      </w:pPr>
      <w:r w:rsidRPr="00AD39A8">
        <w:rPr>
          <w:b/>
          <w:highlight w:val="green"/>
        </w:rPr>
        <w:t>Agreement</w:t>
      </w:r>
    </w:p>
    <w:p w14:paraId="06741A5E" w14:textId="77777777" w:rsidR="00F47FA6" w:rsidRPr="00AD39A8" w:rsidRDefault="00F47FA6" w:rsidP="00F47FA6">
      <w:pPr>
        <w:pStyle w:val="ListParagraph"/>
        <w:ind w:left="0"/>
        <w:rPr>
          <w:szCs w:val="21"/>
        </w:rPr>
      </w:pPr>
      <w:r w:rsidRPr="00AD39A8">
        <w:rPr>
          <w:szCs w:val="21"/>
        </w:rPr>
        <w:t>Regardless of UE capability 1, 2, or 3, signalling of “UL full power tx capability” is supported for UEs with full power uplink transmission capability</w:t>
      </w:r>
    </w:p>
    <w:p w14:paraId="2F243315" w14:textId="77777777" w:rsidR="00F47FA6" w:rsidRPr="00647466" w:rsidRDefault="00F47FA6" w:rsidP="00F47FA6">
      <w:pPr>
        <w:pStyle w:val="LGTdoc"/>
        <w:numPr>
          <w:ilvl w:val="0"/>
          <w:numId w:val="20"/>
        </w:numPr>
        <w:spacing w:afterLines="0" w:line="240" w:lineRule="auto"/>
        <w:contextualSpacing/>
        <w:rPr>
          <w:sz w:val="20"/>
          <w:szCs w:val="22"/>
          <w:lang w:val="en-US"/>
        </w:rPr>
      </w:pPr>
      <w:r w:rsidRPr="00647466">
        <w:rPr>
          <w:sz w:val="20"/>
          <w:szCs w:val="22"/>
          <w:lang w:val="en-US"/>
        </w:rPr>
        <w:t>FFS: For UE capability 1, if any other information is necessary</w:t>
      </w:r>
    </w:p>
    <w:p w14:paraId="1AC8898B" w14:textId="77777777" w:rsidR="00F47FA6" w:rsidRPr="00647466" w:rsidRDefault="00F47FA6" w:rsidP="00F47FA6">
      <w:pPr>
        <w:numPr>
          <w:ilvl w:val="0"/>
          <w:numId w:val="20"/>
        </w:numPr>
        <w:spacing w:after="0"/>
        <w:ind w:left="720" w:hanging="320"/>
        <w:rPr>
          <w:lang w:val="en-US" w:eastAsia="x-none"/>
        </w:rPr>
      </w:pPr>
      <w:r w:rsidRPr="00647466">
        <w:rPr>
          <w:lang w:val="en-US" w:eastAsia="x-none"/>
        </w:rPr>
        <w:t>For UE capability 2 and UE capability 3, in addition to signalling “UL full power tx capability”, further information on UE capability are signalled if needed</w:t>
      </w:r>
    </w:p>
    <w:p w14:paraId="1A5155F7" w14:textId="77777777" w:rsidR="00F47FA6" w:rsidRPr="00647466" w:rsidRDefault="00F47FA6" w:rsidP="00F47FA6">
      <w:pPr>
        <w:pStyle w:val="LGTdoc"/>
        <w:numPr>
          <w:ilvl w:val="1"/>
          <w:numId w:val="20"/>
        </w:numPr>
        <w:spacing w:afterLines="0" w:line="240" w:lineRule="auto"/>
        <w:contextualSpacing/>
        <w:rPr>
          <w:sz w:val="20"/>
          <w:szCs w:val="22"/>
          <w:lang w:val="en-US"/>
        </w:rPr>
      </w:pPr>
      <w:r w:rsidRPr="00647466">
        <w:rPr>
          <w:sz w:val="20"/>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3D5BAE9C" w14:textId="77777777" w:rsidR="00F47FA6" w:rsidRPr="00647466" w:rsidRDefault="00F47FA6" w:rsidP="00F47FA6">
      <w:pPr>
        <w:pStyle w:val="LGTdoc"/>
        <w:numPr>
          <w:ilvl w:val="1"/>
          <w:numId w:val="20"/>
        </w:numPr>
        <w:spacing w:afterLines="0" w:line="240" w:lineRule="auto"/>
        <w:contextualSpacing/>
        <w:rPr>
          <w:sz w:val="20"/>
          <w:szCs w:val="22"/>
          <w:lang w:val="en-US"/>
        </w:rPr>
      </w:pPr>
      <w:r w:rsidRPr="00647466">
        <w:rPr>
          <w:sz w:val="20"/>
          <w:szCs w:val="22"/>
          <w:lang w:val="en-US"/>
        </w:rPr>
        <w:t>FFS: Whether full uplink TX power capability can be explicitly/implicitly derived from the TPMI/TPMI group precoders for full power transmission</w:t>
      </w:r>
    </w:p>
    <w:p w14:paraId="01467443" w14:textId="77777777" w:rsidR="00F47FA6" w:rsidRPr="00AD39A8" w:rsidRDefault="00F47FA6" w:rsidP="00F47FA6">
      <w:pPr>
        <w:pStyle w:val="ListParagraph"/>
        <w:ind w:left="0"/>
        <w:rPr>
          <w:szCs w:val="21"/>
        </w:rPr>
      </w:pPr>
      <w:r w:rsidRPr="00AD39A8">
        <w:rPr>
          <w:szCs w:val="21"/>
        </w:rPr>
        <w:t>UEs with full power uplink transmissions are those Rel-16 UEs which can transmit at full power at least for rank1</w:t>
      </w:r>
    </w:p>
    <w:p w14:paraId="06E6DCCD" w14:textId="77777777" w:rsidR="00F47FA6" w:rsidRPr="00AD39A8" w:rsidRDefault="00F47FA6" w:rsidP="00F47FA6">
      <w:pPr>
        <w:pStyle w:val="ListParagraph"/>
        <w:ind w:left="0"/>
        <w:rPr>
          <w:szCs w:val="21"/>
        </w:rPr>
      </w:pPr>
      <w:r w:rsidRPr="00AD39A8">
        <w:rPr>
          <w:szCs w:val="21"/>
        </w:rPr>
        <w:t>The signalling of above information does not imply any specific UE PA architecture implementation.</w:t>
      </w:r>
    </w:p>
    <w:p w14:paraId="67FA81CE" w14:textId="77777777" w:rsidR="00F47FA6" w:rsidRDefault="00F47FA6" w:rsidP="002D1FB0">
      <w:pPr>
        <w:rPr>
          <w:lang w:val="en-US" w:eastAsia="zh-TW"/>
        </w:rPr>
      </w:pPr>
    </w:p>
    <w:p w14:paraId="187FC66D" w14:textId="77777777" w:rsidR="00C461A8" w:rsidRPr="000D3F25" w:rsidRDefault="00C461A8" w:rsidP="00C461A8">
      <w:pPr>
        <w:spacing w:after="0"/>
        <w:rPr>
          <w:b/>
          <w:highlight w:val="green"/>
          <w:lang w:eastAsia="x-none"/>
        </w:rPr>
      </w:pPr>
      <w:r w:rsidRPr="000D3F25">
        <w:rPr>
          <w:b/>
          <w:highlight w:val="green"/>
          <w:lang w:eastAsia="x-none"/>
        </w:rPr>
        <w:t>Agreement</w:t>
      </w:r>
    </w:p>
    <w:p w14:paraId="78EC08C1" w14:textId="77777777" w:rsidR="00C461A8" w:rsidRPr="000D3F25" w:rsidRDefault="00C461A8" w:rsidP="00C461A8">
      <w:pPr>
        <w:pStyle w:val="LGTdoc"/>
        <w:spacing w:afterLines="0" w:line="240" w:lineRule="auto"/>
        <w:contextualSpacing/>
        <w:rPr>
          <w:sz w:val="20"/>
          <w:szCs w:val="20"/>
          <w:lang w:val="en-US"/>
        </w:rPr>
      </w:pPr>
      <w:r w:rsidRPr="000D3F25">
        <w:rPr>
          <w:sz w:val="20"/>
          <w:szCs w:val="20"/>
          <w:lang w:val="en-US"/>
        </w:rPr>
        <w:t>The working assumption made in RAN1#96 is confirmed</w:t>
      </w:r>
    </w:p>
    <w:p w14:paraId="1218C70E" w14:textId="77777777" w:rsidR="00C461A8" w:rsidRPr="000D3F25" w:rsidRDefault="00C461A8" w:rsidP="00C461A8">
      <w:pPr>
        <w:spacing w:after="0"/>
      </w:pPr>
      <w:r w:rsidRPr="000D3F25">
        <w:t>For UL beam management latency and overhead reduction, support MAC CE based spatial relation update for aperiodic SRS per resource level</w:t>
      </w:r>
    </w:p>
    <w:p w14:paraId="5B993023" w14:textId="77777777" w:rsidR="00C461A8" w:rsidRPr="00C461A8" w:rsidRDefault="00C461A8" w:rsidP="00C461A8">
      <w:pPr>
        <w:numPr>
          <w:ilvl w:val="0"/>
          <w:numId w:val="25"/>
        </w:numPr>
        <w:spacing w:after="0"/>
        <w:rPr>
          <w:lang w:eastAsia="x-none"/>
        </w:rPr>
      </w:pPr>
      <w:r w:rsidRPr="00C461A8">
        <w:rPr>
          <w:lang w:eastAsia="x-none"/>
        </w:rPr>
        <w:t>FFS: Whether this is a UE optional feature</w:t>
      </w:r>
    </w:p>
    <w:p w14:paraId="1ED89691" w14:textId="77777777" w:rsidR="00C461A8" w:rsidRPr="00441F84" w:rsidRDefault="00C461A8" w:rsidP="00C461A8">
      <w:pPr>
        <w:rPr>
          <w:lang w:eastAsia="x-none"/>
        </w:rPr>
      </w:pPr>
      <w:r w:rsidRPr="00C461A8">
        <w:rPr>
          <w:lang w:eastAsia="x-none"/>
        </w:rPr>
        <w:t>FFS: Whether above is applicable regardless of the aperiodic SRS target use</w:t>
      </w:r>
    </w:p>
    <w:p w14:paraId="4213CFA3" w14:textId="70E64F61" w:rsidR="00A26268" w:rsidRPr="00403B00" w:rsidRDefault="00A26268" w:rsidP="00A26268">
      <w:pPr>
        <w:rPr>
          <w:b/>
          <w:u w:val="single"/>
          <w:lang w:eastAsia="zh-TW"/>
        </w:rPr>
      </w:pPr>
      <w:r w:rsidRPr="00403B00">
        <w:rPr>
          <w:b/>
          <w:u w:val="single"/>
          <w:lang w:eastAsia="zh-TW"/>
        </w:rPr>
        <w:t>From RAN1 #</w:t>
      </w:r>
      <w:r>
        <w:rPr>
          <w:b/>
          <w:u w:val="single"/>
          <w:lang w:eastAsia="zh-TW"/>
        </w:rPr>
        <w:t>97</w:t>
      </w:r>
    </w:p>
    <w:p w14:paraId="516C3196" w14:textId="77777777" w:rsidR="00A26268" w:rsidRPr="009D3281" w:rsidRDefault="00A26268" w:rsidP="009A14B9">
      <w:pPr>
        <w:spacing w:after="0"/>
        <w:rPr>
          <w:b/>
          <w:highlight w:val="darkYellow"/>
        </w:rPr>
      </w:pPr>
      <w:r w:rsidRPr="009D3281">
        <w:rPr>
          <w:b/>
          <w:highlight w:val="darkYellow"/>
        </w:rPr>
        <w:t>Working Assumption</w:t>
      </w:r>
    </w:p>
    <w:p w14:paraId="3EB72F6B" w14:textId="77777777" w:rsidR="00A26268" w:rsidRPr="000D7F5C" w:rsidRDefault="00A26268" w:rsidP="00A26268">
      <w:r w:rsidRPr="000D7F5C">
        <w:t>Support following scheme for UL full power Tx for UE capability 2 and 3</w:t>
      </w:r>
      <w:r w:rsidRPr="000D7F5C">
        <w:rPr>
          <w:rFonts w:hint="eastAsia"/>
        </w:rPr>
        <w:t>:</w:t>
      </w:r>
    </w:p>
    <w:p w14:paraId="14A2F33E" w14:textId="77777777" w:rsidR="00A26268" w:rsidRDefault="00A26268" w:rsidP="00A26268">
      <w:pPr>
        <w:pStyle w:val="ListParagraph"/>
        <w:numPr>
          <w:ilvl w:val="0"/>
          <w:numId w:val="20"/>
        </w:numPr>
        <w:spacing w:after="0"/>
      </w:pPr>
      <w:r w:rsidRPr="000D7F5C">
        <w:t>A UE can be configured for one of two modes of full power operation to support ‘Capability 2’ and ‘Capability 3’</w:t>
      </w:r>
      <w:r>
        <w:t xml:space="preserve"> subject to UE capability</w:t>
      </w:r>
    </w:p>
    <w:p w14:paraId="4A5A3D0E" w14:textId="77777777" w:rsidR="00A26268" w:rsidRPr="000D7F5C" w:rsidRDefault="00A26268" w:rsidP="00A26268">
      <w:pPr>
        <w:pStyle w:val="ListParagraph"/>
        <w:numPr>
          <w:ilvl w:val="0"/>
          <w:numId w:val="20"/>
        </w:numPr>
        <w:spacing w:after="0"/>
      </w:pPr>
      <w:r>
        <w:t>A UE can be configured by the network to support full power transmission</w:t>
      </w:r>
      <w:r w:rsidRPr="000D7F5C">
        <w:t xml:space="preserve"> </w:t>
      </w:r>
    </w:p>
    <w:p w14:paraId="02E53062" w14:textId="77777777" w:rsidR="00A26268" w:rsidRPr="000D7F5C" w:rsidRDefault="00A26268" w:rsidP="00A26268">
      <w:pPr>
        <w:pStyle w:val="ListParagraph"/>
        <w:numPr>
          <w:ilvl w:val="0"/>
          <w:numId w:val="20"/>
        </w:numPr>
        <w:spacing w:after="0"/>
      </w:pPr>
      <w:r w:rsidRPr="000D7F5C">
        <w:lastRenderedPageBreak/>
        <w:t>Mode 1: The UE can be configured with one or more SRS resources with same number of SRS ports (according to Rel-15)</w:t>
      </w:r>
      <w:r w:rsidRPr="000D7F5C">
        <w:rPr>
          <w:rFonts w:eastAsia="Malgun Gothic" w:hint="eastAsia"/>
        </w:rPr>
        <w:t xml:space="preserve"> within a</w:t>
      </w:r>
      <w:r>
        <w:rPr>
          <w:rFonts w:eastAsia="Malgun Gothic"/>
        </w:rPr>
        <w:t>n</w:t>
      </w:r>
      <w:r w:rsidRPr="000D7F5C">
        <w:rPr>
          <w:rFonts w:eastAsia="Malgun Gothic" w:hint="eastAsia"/>
        </w:rPr>
        <w:t xml:space="preserve"> SRS resource set which </w:t>
      </w:r>
      <w:r w:rsidRPr="000D7F5C">
        <w:rPr>
          <w:rFonts w:eastAsia="Malgun Gothic" w:hint="eastAsia"/>
          <w:i/>
        </w:rPr>
        <w:t>usage</w:t>
      </w:r>
      <w:r w:rsidRPr="000D7F5C">
        <w:rPr>
          <w:rFonts w:eastAsia="Malgun Gothic" w:hint="eastAsia"/>
        </w:rPr>
        <w:t xml:space="preserve"> is set to </w:t>
      </w:r>
      <w:r w:rsidRPr="000D7F5C">
        <w:rPr>
          <w:rFonts w:eastAsia="Malgun Gothic"/>
        </w:rPr>
        <w:t>‘</w:t>
      </w:r>
      <w:r w:rsidRPr="000D7F5C">
        <w:rPr>
          <w:rFonts w:eastAsia="Malgun Gothic" w:hint="eastAsia"/>
        </w:rPr>
        <w:t>codebook</w:t>
      </w:r>
      <w:r w:rsidRPr="000D7F5C">
        <w:rPr>
          <w:rFonts w:eastAsia="Malgun Gothic"/>
        </w:rPr>
        <w:t>’</w:t>
      </w:r>
    </w:p>
    <w:p w14:paraId="2D7DE177" w14:textId="77777777" w:rsidR="00A26268" w:rsidRPr="000D7F5C" w:rsidRDefault="00A26268" w:rsidP="00A26268">
      <w:pPr>
        <w:pStyle w:val="ListParagraph"/>
        <w:numPr>
          <w:ilvl w:val="1"/>
          <w:numId w:val="20"/>
        </w:numPr>
        <w:spacing w:after="0"/>
      </w:pPr>
      <w:r w:rsidRPr="000D7F5C">
        <w:t>gNB can configure the UE to use a subset of TPMIs that combine ports in a layer to produce full power transmission.</w:t>
      </w:r>
    </w:p>
    <w:p w14:paraId="513F5F1C" w14:textId="77777777" w:rsidR="00A26268" w:rsidRPr="008A35A4" w:rsidRDefault="00A26268" w:rsidP="00A26268">
      <w:pPr>
        <w:pStyle w:val="ListParagraph"/>
        <w:numPr>
          <w:ilvl w:val="1"/>
          <w:numId w:val="20"/>
        </w:numPr>
        <w:spacing w:after="0"/>
      </w:pPr>
      <w:r w:rsidRPr="008A35A4">
        <w:t xml:space="preserve">A new codebookSubset is </w:t>
      </w:r>
      <w:r>
        <w:t>introduced</w:t>
      </w:r>
      <w:r w:rsidRPr="008A35A4">
        <w:t xml:space="preserve"> only for the rank value(s) where full power transmission in UL is not achievable includes the TPMI precoders in </w:t>
      </w:r>
      <w:r w:rsidRPr="008A35A4">
        <w:rPr>
          <w:i/>
        </w:rPr>
        <w:t>fullyAndPartialAndNonCoherent</w:t>
      </w:r>
      <w:r w:rsidRPr="008A35A4">
        <w:t xml:space="preserve"> defined in Rel-15</w:t>
      </w:r>
    </w:p>
    <w:p w14:paraId="07308D97" w14:textId="77777777" w:rsidR="00A26268" w:rsidRPr="000D7F5C" w:rsidRDefault="00A26268" w:rsidP="00A26268">
      <w:pPr>
        <w:pStyle w:val="ListParagraph"/>
        <w:numPr>
          <w:ilvl w:val="2"/>
          <w:numId w:val="20"/>
        </w:numPr>
        <w:spacing w:after="0"/>
      </w:pPr>
      <w:r>
        <w:t xml:space="preserve">FFS: </w:t>
      </w:r>
      <w:r w:rsidRPr="000D7F5C">
        <w:t>At least a subset of the non-antenna selection TPMI precoder(s) is(are) supported</w:t>
      </w:r>
      <w:r>
        <w:t xml:space="preserve"> </w:t>
      </w:r>
    </w:p>
    <w:p w14:paraId="6CB49A37" w14:textId="77777777" w:rsidR="00A26268" w:rsidRPr="000D7F5C" w:rsidRDefault="00A26268" w:rsidP="00A26268">
      <w:pPr>
        <w:pStyle w:val="ListParagraph"/>
        <w:numPr>
          <w:ilvl w:val="2"/>
          <w:numId w:val="20"/>
        </w:numPr>
        <w:spacing w:after="0"/>
      </w:pPr>
      <w:r w:rsidRPr="000D7F5C">
        <w:t>FFS: Additional support of antenna selection TPMI precoders</w:t>
      </w:r>
    </w:p>
    <w:p w14:paraId="678D314E" w14:textId="77777777" w:rsidR="00A26268" w:rsidRPr="000D7F5C" w:rsidRDefault="00A26268" w:rsidP="00A26268">
      <w:pPr>
        <w:pStyle w:val="ListParagraph"/>
        <w:numPr>
          <w:ilvl w:val="1"/>
          <w:numId w:val="20"/>
        </w:numPr>
        <w:spacing w:after="0"/>
      </w:pPr>
      <w:r w:rsidRPr="000D7F5C">
        <w:t>Note: as non-coherent UE, it is not capable of maintaining relative phase of antenna ports according to TPMI</w:t>
      </w:r>
    </w:p>
    <w:p w14:paraId="2EA96AF5" w14:textId="77777777" w:rsidR="00A26268" w:rsidRPr="000D7F5C" w:rsidRDefault="00A26268" w:rsidP="00A26268">
      <w:pPr>
        <w:pStyle w:val="ListParagraph"/>
        <w:numPr>
          <w:ilvl w:val="0"/>
          <w:numId w:val="20"/>
        </w:numPr>
        <w:spacing w:after="0"/>
      </w:pPr>
      <w:r w:rsidRPr="000D7F5C">
        <w:t>Mode 2: The UE can be configured with one SRS resource or multiple</w:t>
      </w:r>
      <w:r>
        <w:t xml:space="preserve"> </w:t>
      </w:r>
      <w:r w:rsidRPr="000D7F5C">
        <w:t>SRS resources with different number of SRS ports</w:t>
      </w:r>
      <w:r w:rsidRPr="000D7F5C">
        <w:rPr>
          <w:rFonts w:eastAsia="Malgun Gothic" w:hint="eastAsia"/>
        </w:rPr>
        <w:t xml:space="preserve"> within a SRS resource set which </w:t>
      </w:r>
      <w:r w:rsidRPr="000D7F5C">
        <w:rPr>
          <w:rFonts w:eastAsia="Malgun Gothic" w:hint="eastAsia"/>
          <w:i/>
        </w:rPr>
        <w:t>usage</w:t>
      </w:r>
      <w:r w:rsidRPr="000D7F5C">
        <w:rPr>
          <w:rFonts w:eastAsia="Malgun Gothic" w:hint="eastAsia"/>
        </w:rPr>
        <w:t xml:space="preserve"> is set to </w:t>
      </w:r>
      <w:r w:rsidRPr="000D7F5C">
        <w:rPr>
          <w:rFonts w:eastAsia="Malgun Gothic"/>
        </w:rPr>
        <w:t>‘</w:t>
      </w:r>
      <w:r w:rsidRPr="000D7F5C">
        <w:rPr>
          <w:rFonts w:eastAsia="Malgun Gothic" w:hint="eastAsia"/>
        </w:rPr>
        <w:t>codebook</w:t>
      </w:r>
      <w:r w:rsidRPr="000D7F5C">
        <w:rPr>
          <w:rFonts w:eastAsia="Malgun Gothic"/>
        </w:rPr>
        <w:t>’</w:t>
      </w:r>
    </w:p>
    <w:p w14:paraId="347908E1" w14:textId="77777777" w:rsidR="00A26268" w:rsidRPr="000D7F5C" w:rsidRDefault="00A26268" w:rsidP="00A26268">
      <w:pPr>
        <w:pStyle w:val="ListParagraph"/>
        <w:numPr>
          <w:ilvl w:val="1"/>
          <w:numId w:val="20"/>
        </w:numPr>
        <w:spacing w:after="0"/>
      </w:pPr>
      <w:r w:rsidRPr="000D7F5C">
        <w:rPr>
          <w:rFonts w:eastAsia="Malgun Gothic" w:hint="eastAsia"/>
        </w:rPr>
        <w:t xml:space="preserve">UE transmits SRS and PUSCH </w:t>
      </w:r>
      <w:r w:rsidRPr="000D7F5C">
        <w:rPr>
          <w:rFonts w:eastAsia="Malgun Gothic"/>
        </w:rPr>
        <w:t>in same manner, whether antenna virtualization is used or not</w:t>
      </w:r>
    </w:p>
    <w:p w14:paraId="22566B58" w14:textId="77777777" w:rsidR="00A26268" w:rsidRPr="000D7F5C" w:rsidRDefault="00A26268" w:rsidP="00A26268">
      <w:pPr>
        <w:pStyle w:val="ListParagraph"/>
        <w:numPr>
          <w:ilvl w:val="1"/>
          <w:numId w:val="20"/>
        </w:numPr>
        <w:spacing w:after="0"/>
      </w:pPr>
      <w:r w:rsidRPr="000D7F5C">
        <w:rPr>
          <w:rFonts w:eastAsia="Malgun Gothic"/>
        </w:rPr>
        <w:t>Rel-15 codebooks and codebook subsets are used</w:t>
      </w:r>
    </w:p>
    <w:p w14:paraId="6860CD02" w14:textId="77777777" w:rsidR="00A26268" w:rsidRPr="00CE47DE" w:rsidRDefault="00A26268" w:rsidP="00A26268">
      <w:pPr>
        <w:pStyle w:val="ListParagraph"/>
        <w:numPr>
          <w:ilvl w:val="2"/>
          <w:numId w:val="20"/>
        </w:numPr>
        <w:spacing w:after="0"/>
        <w:ind w:left="1440" w:hanging="240"/>
      </w:pPr>
      <w:r w:rsidRPr="00CE47DE">
        <w:t>Note: Antenna selection precoder can be used to enable full power related PA(s) to produce full power transmission for Capability-3 UE.</w:t>
      </w:r>
    </w:p>
    <w:p w14:paraId="64A5AED9" w14:textId="77777777" w:rsidR="00A26268" w:rsidRPr="000D7F5C" w:rsidRDefault="00A26268" w:rsidP="00A26268">
      <w:pPr>
        <w:pStyle w:val="ListParagraph"/>
        <w:numPr>
          <w:ilvl w:val="1"/>
          <w:numId w:val="20"/>
        </w:numPr>
        <w:spacing w:after="0"/>
      </w:pPr>
      <w:r w:rsidRPr="000D7F5C">
        <w:t>UL full power Tx is achieved for PUSCH transmission according to indicated SRI and/or TPMI</w:t>
      </w:r>
    </w:p>
    <w:p w14:paraId="4331B4F7" w14:textId="77777777" w:rsidR="00A26268" w:rsidRPr="000D7F5C" w:rsidRDefault="00A26268" w:rsidP="00A26268">
      <w:pPr>
        <w:pStyle w:val="ListParagraph"/>
        <w:numPr>
          <w:ilvl w:val="2"/>
          <w:numId w:val="20"/>
        </w:numPr>
        <w:spacing w:after="0"/>
      </w:pPr>
      <w:r w:rsidRPr="000D7F5C">
        <w:t xml:space="preserve">A set of TPMIs that deliver full power can be signalled by the UE </w:t>
      </w:r>
      <w:r w:rsidRPr="009D06C2">
        <w:t xml:space="preserve">in order to support at least  </w:t>
      </w:r>
      <w:r w:rsidRPr="00EB704F">
        <w:t>UEcap3</w:t>
      </w:r>
      <w:r w:rsidRPr="009D06C2">
        <w:t>, for SRS resource with more than 1 ports</w:t>
      </w:r>
      <w:r w:rsidRPr="000D7F5C">
        <w:t xml:space="preserve">, </w:t>
      </w:r>
    </w:p>
    <w:p w14:paraId="64F8446A" w14:textId="77777777" w:rsidR="00A26268" w:rsidRPr="000D7F5C" w:rsidRDefault="00A26268" w:rsidP="00A26268">
      <w:pPr>
        <w:pStyle w:val="ListParagraph"/>
        <w:numPr>
          <w:ilvl w:val="2"/>
          <w:numId w:val="20"/>
        </w:numPr>
        <w:spacing w:after="0"/>
      </w:pPr>
      <w:r w:rsidRPr="000D7F5C">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23658ACC" w14:textId="77777777" w:rsidR="00A26268" w:rsidRPr="000D7F5C" w:rsidRDefault="00A26268" w:rsidP="00A26268">
      <w:pPr>
        <w:pStyle w:val="ListParagraph"/>
        <w:numPr>
          <w:ilvl w:val="2"/>
          <w:numId w:val="20"/>
        </w:numPr>
        <w:spacing w:after="0"/>
      </w:pPr>
      <w:r w:rsidRPr="000D7F5C">
        <w:t>The following cases are not precluded</w:t>
      </w:r>
    </w:p>
    <w:p w14:paraId="098A8A5B" w14:textId="77777777" w:rsidR="00A26268" w:rsidRPr="000D7F5C" w:rsidRDefault="00A26268" w:rsidP="00A26268">
      <w:pPr>
        <w:pStyle w:val="ListParagraph"/>
        <w:numPr>
          <w:ilvl w:val="3"/>
          <w:numId w:val="20"/>
        </w:numPr>
        <w:spacing w:after="0"/>
      </w:pPr>
      <w:r w:rsidRPr="000D7F5C">
        <w:t>For example, for 4TX on UE side (with 20+20+17+17dBm) virtualized as 2 SRS ports, full uplink power transmission can be enabled by precoder [1 0] or [0 1]</w:t>
      </w:r>
    </w:p>
    <w:p w14:paraId="22EA7B29" w14:textId="77777777" w:rsidR="00A26268" w:rsidRPr="000D7F5C" w:rsidRDefault="00A26268" w:rsidP="00A26268">
      <w:pPr>
        <w:pStyle w:val="ListParagraph"/>
        <w:numPr>
          <w:ilvl w:val="2"/>
          <w:numId w:val="20"/>
        </w:numPr>
        <w:spacing w:after="0"/>
      </w:pPr>
      <w:r w:rsidRPr="000D7F5C">
        <w:rPr>
          <w:rFonts w:eastAsia="Malgun Gothic"/>
        </w:rPr>
        <w:t xml:space="preserve">FFS: number of SRS resources supported </w:t>
      </w:r>
    </w:p>
    <w:p w14:paraId="18838CEB" w14:textId="77777777" w:rsidR="00A26268" w:rsidRPr="000D7F5C" w:rsidRDefault="00A26268" w:rsidP="00A26268">
      <w:pPr>
        <w:pStyle w:val="ListParagraph"/>
        <w:numPr>
          <w:ilvl w:val="3"/>
          <w:numId w:val="20"/>
        </w:numPr>
        <w:spacing w:after="0"/>
      </w:pPr>
      <w:r w:rsidRPr="000D7F5C">
        <w:rPr>
          <w:rFonts w:eastAsia="Malgun Gothic"/>
        </w:rPr>
        <w:t xml:space="preserve">2 </w:t>
      </w:r>
    </w:p>
    <w:p w14:paraId="09C1CF9E" w14:textId="77777777" w:rsidR="00A26268" w:rsidRPr="000D7F5C" w:rsidRDefault="00A26268" w:rsidP="00A26268">
      <w:pPr>
        <w:pStyle w:val="ListParagraph"/>
        <w:numPr>
          <w:ilvl w:val="3"/>
          <w:numId w:val="20"/>
        </w:numPr>
        <w:spacing w:after="0"/>
      </w:pPr>
      <w:r w:rsidRPr="000D7F5C">
        <w:rPr>
          <w:rFonts w:eastAsia="Malgun Gothic"/>
        </w:rPr>
        <w:t xml:space="preserve">3 </w:t>
      </w:r>
    </w:p>
    <w:p w14:paraId="6B46955F" w14:textId="77777777" w:rsidR="00A26268" w:rsidRPr="000D7F5C" w:rsidRDefault="00A26268" w:rsidP="00A26268">
      <w:pPr>
        <w:pStyle w:val="ListParagraph"/>
        <w:numPr>
          <w:ilvl w:val="2"/>
          <w:numId w:val="20"/>
        </w:numPr>
        <w:spacing w:after="0"/>
      </w:pPr>
      <w:r w:rsidRPr="000D7F5C">
        <w:rPr>
          <w:rFonts w:eastAsia="Malgun Gothic"/>
        </w:rPr>
        <w:t>FFS: for 4 Tx, how many different TPMIs/TPMI groups support full power</w:t>
      </w:r>
    </w:p>
    <w:p w14:paraId="0DDD4777" w14:textId="77777777" w:rsidR="00A26268" w:rsidRPr="000D7F5C" w:rsidRDefault="00A26268" w:rsidP="00A26268">
      <w:pPr>
        <w:pStyle w:val="ListParagraph"/>
        <w:numPr>
          <w:ilvl w:val="1"/>
          <w:numId w:val="20"/>
        </w:numPr>
        <w:spacing w:after="0"/>
      </w:pPr>
      <w:r w:rsidRPr="000D7F5C">
        <w:t>FFS: any rules for spatial filter update for the SRS resources with different number ports</w:t>
      </w:r>
    </w:p>
    <w:p w14:paraId="7D0B4DB5" w14:textId="77777777" w:rsidR="00A26268" w:rsidRPr="000D7F5C" w:rsidRDefault="00A26268" w:rsidP="009A14B9">
      <w:pPr>
        <w:pStyle w:val="ListParagraph"/>
        <w:spacing w:after="0"/>
        <w:ind w:left="0"/>
      </w:pPr>
      <w:r w:rsidRPr="000D7F5C">
        <w:t>Note: How to capture the behaviour for ‘Mode 1’ and ‘Mode 2’ in specifications is TBD</w:t>
      </w:r>
    </w:p>
    <w:p w14:paraId="35B122C6" w14:textId="77777777" w:rsidR="00A26268" w:rsidRDefault="00A26268" w:rsidP="009A14B9">
      <w:pPr>
        <w:pStyle w:val="ListParagraph"/>
        <w:spacing w:after="0"/>
        <w:ind w:left="0"/>
      </w:pPr>
      <w:r w:rsidRPr="000D7F5C">
        <w:t>Note: For single port, there is no SRI and TPMI</w:t>
      </w:r>
    </w:p>
    <w:p w14:paraId="6CEC2C63" w14:textId="678FCFE2" w:rsidR="007C4936" w:rsidRDefault="00A26268" w:rsidP="009A14B9">
      <w:pPr>
        <w:spacing w:after="0"/>
        <w:rPr>
          <w:lang w:eastAsia="zh-TW"/>
        </w:rPr>
      </w:pPr>
      <w:r>
        <w:t>Note: Support of Mode 1, Mode 2 have separate UE capability</w:t>
      </w:r>
    </w:p>
    <w:p w14:paraId="486D3B14" w14:textId="77777777" w:rsidR="00A26268" w:rsidRDefault="00A26268" w:rsidP="004D1AB6">
      <w:pPr>
        <w:rPr>
          <w:lang w:eastAsia="zh-TW"/>
        </w:rPr>
      </w:pPr>
    </w:p>
    <w:p w14:paraId="1424DA3E" w14:textId="7CDCBED2" w:rsidR="002D1FB0" w:rsidRDefault="00E10B96" w:rsidP="004D1AB6">
      <w:r>
        <w:rPr>
          <w:lang w:eastAsia="zh-TW"/>
        </w:rPr>
        <w:t>In this contribution, we provide our view for this topic.</w:t>
      </w:r>
    </w:p>
    <w:p w14:paraId="637388BC" w14:textId="065A04FF" w:rsidR="00F5284E" w:rsidRDefault="00F5284E" w:rsidP="00F5284E">
      <w:pPr>
        <w:pStyle w:val="Heading1"/>
      </w:pPr>
      <w:bookmarkStart w:id="2" w:name="OLE_LINK9"/>
      <w:r w:rsidRPr="00AD39A8">
        <w:t xml:space="preserve">UL full power </w:t>
      </w:r>
      <w:bookmarkEnd w:id="2"/>
      <w:r>
        <w:t>T</w:t>
      </w:r>
      <w:r w:rsidRPr="00AD39A8">
        <w:t xml:space="preserve">x </w:t>
      </w:r>
      <w:r w:rsidR="00487C65">
        <w:t>for UE capability 2 and 3</w:t>
      </w:r>
    </w:p>
    <w:p w14:paraId="6947E3B1" w14:textId="43A87337" w:rsidR="004C00A1" w:rsidRDefault="00C87127" w:rsidP="00F5284E">
      <w:pPr>
        <w:spacing w:after="160" w:line="259" w:lineRule="auto"/>
        <w:contextualSpacing/>
      </w:pPr>
      <w:r>
        <w:t xml:space="preserve">In RAN1#97 meeting, two modes </w:t>
      </w:r>
      <w:r w:rsidR="00270AC6">
        <w:t>were</w:t>
      </w:r>
      <w:r>
        <w:t xml:space="preserve"> proposed to support UL full power for UE capability 2</w:t>
      </w:r>
      <w:r w:rsidR="00344EA3">
        <w:t xml:space="preserve"> and </w:t>
      </w:r>
      <w:r>
        <w:t xml:space="preserve">3. </w:t>
      </w:r>
      <w:r w:rsidR="00366F55">
        <w:t>It is UE capability to indicate which mode (or both) is supported by UE.</w:t>
      </w:r>
      <w:r w:rsidR="00470583">
        <w:t xml:space="preserve"> </w:t>
      </w:r>
    </w:p>
    <w:p w14:paraId="40DF0E77" w14:textId="51DFA242" w:rsidR="00FF20EB" w:rsidRDefault="004C00A1" w:rsidP="00F5284E">
      <w:pPr>
        <w:spacing w:after="160" w:line="259" w:lineRule="auto"/>
        <w:contextualSpacing/>
      </w:pPr>
      <w:r>
        <w:t xml:space="preserve">The basic concept of 2 modes are similar </w:t>
      </w:r>
      <w:r w:rsidR="00270AC6">
        <w:t xml:space="preserve">in terms of </w:t>
      </w:r>
      <w:r>
        <w:t>us</w:t>
      </w:r>
      <w:r w:rsidR="00270AC6">
        <w:t xml:space="preserve">ing </w:t>
      </w:r>
      <w:r>
        <w:t>power from multiple physical antenna ports to achieve target Tx power. However, the signalling and RRC configuration for the two approaches are different</w:t>
      </w:r>
      <w:r w:rsidR="00464E16">
        <w:t xml:space="preserve">. </w:t>
      </w:r>
      <w:r w:rsidR="00160D31">
        <w:t>Consider implementation complexity, b</w:t>
      </w:r>
      <w:r w:rsidR="00464E16">
        <w:t xml:space="preserve">oth modes </w:t>
      </w:r>
      <w:r w:rsidR="00746D4E">
        <w:t xml:space="preserve">can be </w:t>
      </w:r>
      <w:r w:rsidR="00464E16">
        <w:t xml:space="preserve">supported by </w:t>
      </w:r>
      <w:r w:rsidR="00160D31">
        <w:t xml:space="preserve">specification. </w:t>
      </w:r>
      <w:r w:rsidR="00470583">
        <w:t xml:space="preserve">In this </w:t>
      </w:r>
      <w:r w:rsidR="00397BB2">
        <w:t>contribution</w:t>
      </w:r>
      <w:r w:rsidR="00470583">
        <w:t xml:space="preserve">, we </w:t>
      </w:r>
      <w:r w:rsidR="00270AC6">
        <w:t>provide</w:t>
      </w:r>
      <w:r w:rsidR="00470583">
        <w:t xml:space="preserve"> </w:t>
      </w:r>
      <w:r w:rsidR="00F258CD">
        <w:t xml:space="preserve">details </w:t>
      </w:r>
      <w:r w:rsidR="00270AC6">
        <w:t xml:space="preserve">of the </w:t>
      </w:r>
      <w:r w:rsidR="00CC1D73">
        <w:t>design for</w:t>
      </w:r>
      <w:r w:rsidR="00F258CD">
        <w:t xml:space="preserve"> mode 1 and mode 2.</w:t>
      </w:r>
      <w:r w:rsidR="00E8350C">
        <w:t xml:space="preserve"> </w:t>
      </w:r>
    </w:p>
    <w:p w14:paraId="53BFCECF" w14:textId="77777777" w:rsidR="00E8350C" w:rsidRDefault="00E8350C" w:rsidP="00F5284E">
      <w:pPr>
        <w:spacing w:after="160" w:line="259" w:lineRule="auto"/>
        <w:contextualSpacing/>
      </w:pPr>
    </w:p>
    <w:p w14:paraId="006DCC1F" w14:textId="586AFF57" w:rsidR="00E8350C" w:rsidRPr="009A14B9" w:rsidRDefault="00E8350C" w:rsidP="00F5284E">
      <w:pPr>
        <w:spacing w:after="160" w:line="259" w:lineRule="auto"/>
        <w:contextualSpacing/>
        <w:rPr>
          <w:b/>
          <w:i/>
        </w:rPr>
      </w:pPr>
      <w:r w:rsidRPr="009A14B9">
        <w:rPr>
          <w:b/>
          <w:i/>
        </w:rPr>
        <w:t xml:space="preserve">Proposal </w:t>
      </w:r>
      <w:r w:rsidR="00DB63E0" w:rsidRPr="009A14B9">
        <w:rPr>
          <w:b/>
          <w:i/>
        </w:rPr>
        <w:t>1: Confirm the working assumption</w:t>
      </w:r>
      <w:r w:rsidR="00DC00E7">
        <w:rPr>
          <w:b/>
          <w:i/>
        </w:rPr>
        <w:t xml:space="preserve"> made in RAN1#97</w:t>
      </w:r>
      <w:r w:rsidR="00DB63E0" w:rsidRPr="009A14B9">
        <w:rPr>
          <w:b/>
          <w:i/>
        </w:rPr>
        <w:t xml:space="preserve"> for UE capability 2 and 3.</w:t>
      </w:r>
    </w:p>
    <w:p w14:paraId="1C6576CC" w14:textId="77777777" w:rsidR="00DE6A9E" w:rsidRDefault="00DE6A9E" w:rsidP="00DE6A9E">
      <w:pPr>
        <w:spacing w:after="160" w:line="259" w:lineRule="auto"/>
        <w:contextualSpacing/>
      </w:pPr>
    </w:p>
    <w:p w14:paraId="056C5283" w14:textId="7A79072C" w:rsidR="00396763" w:rsidRDefault="00501DFA" w:rsidP="003F1089">
      <w:pPr>
        <w:pStyle w:val="Heading2"/>
      </w:pPr>
      <w:r>
        <w:t>Mode 1</w:t>
      </w:r>
      <w:r w:rsidR="00396763">
        <w:t xml:space="preserve"> </w:t>
      </w:r>
    </w:p>
    <w:p w14:paraId="77632640" w14:textId="2CD51C32" w:rsidR="0089579D" w:rsidRDefault="002E037C" w:rsidP="009A14B9">
      <w:r w:rsidRPr="000D7F5C">
        <w:t xml:space="preserve">gNB can configure the UE to use a </w:t>
      </w:r>
      <w:r>
        <w:t xml:space="preserve">new </w:t>
      </w:r>
      <w:r w:rsidRPr="000D7F5C">
        <w:t>subset of TPMIs</w:t>
      </w:r>
      <w:r>
        <w:t xml:space="preserve"> for rank values that cannot achieve full Tx power in Rel-15. </w:t>
      </w:r>
      <w:r w:rsidR="003B392B">
        <w:t xml:space="preserve">The number of codewords in the subset should not exceed the number in Rel-15, as shown in </w:t>
      </w:r>
      <w:r w:rsidR="003B392B">
        <w:fldChar w:fldCharType="begin"/>
      </w:r>
      <w:r w:rsidR="003B392B">
        <w:instrText xml:space="preserve"> REF _Ref7596777 \h </w:instrText>
      </w:r>
      <w:r w:rsidR="003B392B">
        <w:fldChar w:fldCharType="separate"/>
      </w:r>
      <w:r w:rsidR="003B392B">
        <w:t xml:space="preserve">Table </w:t>
      </w:r>
      <w:r w:rsidR="003B392B">
        <w:rPr>
          <w:noProof/>
        </w:rPr>
        <w:t>1</w:t>
      </w:r>
      <w:r w:rsidR="003B392B">
        <w:fldChar w:fldCharType="end"/>
      </w:r>
      <w:r w:rsidR="003B392B">
        <w:t>.</w:t>
      </w:r>
    </w:p>
    <w:p w14:paraId="6A315DD8" w14:textId="7348EC54" w:rsidR="00270AC6" w:rsidRDefault="0089579D" w:rsidP="009A14B9">
      <w:pPr>
        <w:rPr>
          <w:lang w:val="en-US" w:eastAsia="x-none"/>
        </w:rPr>
      </w:pPr>
      <w:r>
        <w:t xml:space="preserve">In 2Tx </w:t>
      </w:r>
      <w:r w:rsidR="001A4F39">
        <w:t>UL</w:t>
      </w:r>
      <w:r>
        <w:t xml:space="preserve"> for UE </w:t>
      </w:r>
      <w:r>
        <w:rPr>
          <w:lang w:val="en-US" w:eastAsia="x-none"/>
        </w:rPr>
        <w:t>capability 2,</w:t>
      </w:r>
      <w:r>
        <w:t xml:space="preserve"> the TPMI to support full power can be any </w:t>
      </w:r>
      <w:r w:rsidRPr="00647466">
        <w:rPr>
          <w:lang w:val="en-US" w:eastAsia="x-none"/>
        </w:rPr>
        <w:t>non-antenna selection</w:t>
      </w:r>
      <w:r>
        <w:rPr>
          <w:lang w:val="en-US" w:eastAsia="x-none"/>
        </w:rPr>
        <w:t xml:space="preserve"> TPMI (note that </w:t>
      </w:r>
      <w:r>
        <w:t>for</w:t>
      </w:r>
      <w:r w:rsidRPr="000D7F5C">
        <w:t xml:space="preserve"> non-coherent UE, it is not capable of maintaining relative phase of antenna ports</w:t>
      </w:r>
      <w:r>
        <w:rPr>
          <w:lang w:val="en-US" w:eastAsia="x-none"/>
        </w:rPr>
        <w:t xml:space="preserve">). </w:t>
      </w:r>
    </w:p>
    <w:p w14:paraId="77AA61F6" w14:textId="78CE12D2" w:rsidR="002E037C" w:rsidRDefault="0089579D" w:rsidP="009A14B9">
      <w:r>
        <w:rPr>
          <w:lang w:val="en-US" w:eastAsia="x-none"/>
        </w:rPr>
        <w:t xml:space="preserve">However, </w:t>
      </w:r>
      <w:r w:rsidR="00A32EC0">
        <w:rPr>
          <w:lang w:val="en-US" w:eastAsia="x-none"/>
        </w:rPr>
        <w:t xml:space="preserve">for UE capability 3, </w:t>
      </w:r>
      <w:r w:rsidR="00F560F9">
        <w:rPr>
          <w:lang w:val="en-US" w:eastAsia="x-none"/>
        </w:rPr>
        <w:t xml:space="preserve">one may wish to use such TPMI to leverage </w:t>
      </w:r>
      <w:r w:rsidR="0035118F">
        <w:rPr>
          <w:lang w:val="en-US" w:eastAsia="x-none"/>
        </w:rPr>
        <w:t xml:space="preserve">the </w:t>
      </w:r>
      <w:r w:rsidR="00F560F9">
        <w:rPr>
          <w:lang w:val="en-US" w:eastAsia="x-none"/>
        </w:rPr>
        <w:t>full rated PA</w:t>
      </w:r>
      <w:r w:rsidR="00754FA0">
        <w:rPr>
          <w:lang w:val="en-US" w:eastAsia="x-none"/>
        </w:rPr>
        <w:t xml:space="preserve"> so the appropriate TPMIs in general depends on UE </w:t>
      </w:r>
      <w:r w:rsidR="00754FA0">
        <w:t xml:space="preserve">architecture. </w:t>
      </w:r>
      <w:r w:rsidR="00C142DF">
        <w:rPr>
          <w:lang w:val="en-US" w:eastAsia="x-none"/>
        </w:rPr>
        <w:t xml:space="preserve">For example, in </w:t>
      </w:r>
      <w:r w:rsidR="00F42FB5">
        <w:rPr>
          <w:lang w:val="en-US" w:eastAsia="x-none"/>
        </w:rPr>
        <w:t>C</w:t>
      </w:r>
      <w:r w:rsidR="00C142DF">
        <w:rPr>
          <w:lang w:val="en-US" w:eastAsia="x-none"/>
        </w:rPr>
        <w:t xml:space="preserve">ase 2 and </w:t>
      </w:r>
      <w:r w:rsidR="00F42FB5">
        <w:rPr>
          <w:lang w:val="en-US" w:eastAsia="x-none"/>
        </w:rPr>
        <w:t xml:space="preserve">Case </w:t>
      </w:r>
      <w:r w:rsidR="00C142DF">
        <w:rPr>
          <w:lang w:val="en-US" w:eastAsia="x-none"/>
        </w:rPr>
        <w:t xml:space="preserve">3 in </w:t>
      </w:r>
      <w:r w:rsidR="00C142DF">
        <w:rPr>
          <w:lang w:val="en-US" w:eastAsia="x-none"/>
        </w:rPr>
        <w:fldChar w:fldCharType="begin"/>
      </w:r>
      <w:r w:rsidR="00C142DF">
        <w:rPr>
          <w:lang w:val="en-US" w:eastAsia="x-none"/>
        </w:rPr>
        <w:instrText xml:space="preserve"> REF _Ref7600515 \h </w:instrText>
      </w:r>
      <w:r w:rsidR="00C142DF">
        <w:rPr>
          <w:lang w:val="en-US" w:eastAsia="x-none"/>
        </w:rPr>
      </w:r>
      <w:r w:rsidR="00C142DF">
        <w:rPr>
          <w:lang w:val="en-US" w:eastAsia="x-none"/>
        </w:rPr>
        <w:fldChar w:fldCharType="separate"/>
      </w:r>
      <w:r w:rsidR="00C142DF">
        <w:t xml:space="preserve">Table </w:t>
      </w:r>
      <w:r w:rsidR="00C142DF">
        <w:rPr>
          <w:noProof/>
        </w:rPr>
        <w:t>2</w:t>
      </w:r>
      <w:r w:rsidR="00C142DF">
        <w:rPr>
          <w:lang w:val="en-US" w:eastAsia="x-none"/>
        </w:rPr>
        <w:fldChar w:fldCharType="end"/>
      </w:r>
      <w:r w:rsidR="002A5C60">
        <w:rPr>
          <w:lang w:val="en-US" w:eastAsia="x-none"/>
        </w:rPr>
        <w:t>,</w:t>
      </w:r>
      <w:r w:rsidR="00C142DF">
        <w:rPr>
          <w:lang w:val="en-US" w:eastAsia="x-none"/>
        </w:rPr>
        <w:t xml:space="preserve"> different </w:t>
      </w:r>
      <w:r w:rsidR="002A5C60">
        <w:rPr>
          <w:lang w:val="en-US" w:eastAsia="x-none"/>
        </w:rPr>
        <w:t xml:space="preserve">codebook subset are </w:t>
      </w:r>
      <w:r w:rsidR="002A5C60">
        <w:rPr>
          <w:lang w:val="en-US" w:eastAsia="x-none"/>
        </w:rPr>
        <w:lastRenderedPageBreak/>
        <w:t>preferred for different PA configuration</w:t>
      </w:r>
      <w:r w:rsidR="00B279CE">
        <w:rPr>
          <w:lang w:val="en-US" w:eastAsia="x-none"/>
        </w:rPr>
        <w:t>s</w:t>
      </w:r>
      <w:r w:rsidR="00C142DF">
        <w:rPr>
          <w:lang w:val="en-US" w:eastAsia="x-none"/>
        </w:rPr>
        <w:t>.</w:t>
      </w:r>
      <w:r w:rsidR="00B279CE">
        <w:rPr>
          <w:lang w:val="en-US" w:eastAsia="x-none"/>
        </w:rPr>
        <w:t xml:space="preserve"> </w:t>
      </w:r>
      <w:r w:rsidR="00F42FB5">
        <w:t>In that case</w:t>
      </w:r>
      <w:r w:rsidR="00270AC6">
        <w:t>, the association of port index to a PA can be arranged to reduce the number of combinations. For example, for 2Tx, the PA output power can be assumed to be non-increasing with port index, e.g. PA output power at port 0 is always larger than that at port 1</w:t>
      </w:r>
      <w:r w:rsidR="00F42FB5">
        <w:t xml:space="preserve"> and preclude Case 3</w:t>
      </w:r>
      <w:r w:rsidR="0047334A">
        <w:t>.</w:t>
      </w:r>
    </w:p>
    <w:p w14:paraId="27AA4A78" w14:textId="14B50D49" w:rsidR="0076158B" w:rsidRDefault="005472F2" w:rsidP="009A14B9">
      <w:r>
        <w:t xml:space="preserve">Similarly </w:t>
      </w:r>
      <w:r w:rsidR="004D76FA">
        <w:t>i</w:t>
      </w:r>
      <w:r>
        <w:t xml:space="preserve">n 4Tx </w:t>
      </w:r>
      <w:r w:rsidR="001A4F39">
        <w:t>UL</w:t>
      </w:r>
      <w:r>
        <w:t xml:space="preserve">, </w:t>
      </w:r>
      <w:r w:rsidR="000B3AAB">
        <w:t xml:space="preserve">the preferred </w:t>
      </w:r>
      <w:r w:rsidR="002351F0">
        <w:t>TMPIs</w:t>
      </w:r>
      <w:r w:rsidR="00A60373">
        <w:t xml:space="preserve"> could vary according to UE’s PA configuration</w:t>
      </w:r>
      <w:r w:rsidR="00270AC6">
        <w:t xml:space="preserve"> if all possible combinations are considered</w:t>
      </w:r>
      <w:r w:rsidR="002351F0">
        <w:t xml:space="preserve">. </w:t>
      </w:r>
      <w:r w:rsidR="0073680F">
        <w:t>As two possible configurations in Case 4, [17, 17, 17, 17] dBm require</w:t>
      </w:r>
      <w:r w:rsidR="00781851">
        <w:t>s</w:t>
      </w:r>
      <w:r w:rsidR="0073680F">
        <w:t xml:space="preserve"> a coherent precoder to get full </w:t>
      </w:r>
      <w:r w:rsidR="00C804E0">
        <w:t xml:space="preserve">Tx </w:t>
      </w:r>
      <w:r w:rsidR="0073680F">
        <w:t xml:space="preserve">power while [20,20,20,20] dBm can have two options by either a coherent precoder or a partial-coherent precoder (e.g., [1 0 1 0]). </w:t>
      </w:r>
      <w:r w:rsidR="0076158B">
        <w:t>To reduce possible choices, both configurations can be treated the same and use the same new codebook subset for full Tx power.</w:t>
      </w:r>
    </w:p>
    <w:p w14:paraId="30F4CF54" w14:textId="5588C8AC" w:rsidR="006579FD" w:rsidRDefault="00341994" w:rsidP="009A14B9">
      <w:r>
        <w:t xml:space="preserve">Another example in </w:t>
      </w:r>
      <w:r w:rsidRPr="00B04C50">
        <w:t xml:space="preserve">Case </w:t>
      </w:r>
      <w:r w:rsidR="004F5209">
        <w:t>5</w:t>
      </w:r>
      <w:r>
        <w:t xml:space="preserve"> considering </w:t>
      </w:r>
      <w:r w:rsidR="00643CCC">
        <w:t xml:space="preserve">4Tx </w:t>
      </w:r>
      <w:r w:rsidR="00975A8C">
        <w:t>partial-</w:t>
      </w:r>
      <w:r w:rsidR="00B03EF0">
        <w:t xml:space="preserve">coherent UE. </w:t>
      </w:r>
      <w:r w:rsidR="000D4AEA">
        <w:t xml:space="preserve">When UE belongs to capability 3, </w:t>
      </w:r>
      <w:r w:rsidR="00303167">
        <w:t>we can</w:t>
      </w:r>
      <w:r w:rsidR="00943832">
        <w:t xml:space="preserve"> assign the the most capable PA to port0 (coherent group 0) so a fixed precoder (TPMI=0) can be used for full Tx power without ambiguity</w:t>
      </w:r>
      <w:r w:rsidR="007D0322">
        <w:t>.</w:t>
      </w:r>
      <w:r w:rsidR="00ED424F">
        <w:t xml:space="preserve"> </w:t>
      </w:r>
      <w:r w:rsidR="00C122EB">
        <w:t>In other words, in order to reduce the number of combinations</w:t>
      </w:r>
      <w:r w:rsidR="00270AC6">
        <w:t xml:space="preserve">, </w:t>
      </w:r>
      <w:r w:rsidR="00C122EB">
        <w:t xml:space="preserve">we may ask </w:t>
      </w:r>
      <w:r w:rsidR="00270AC6">
        <w:t>the PA output power within a coherence group can be arranged in a non-increasing order</w:t>
      </w:r>
      <w:r w:rsidR="00C122EB">
        <w:t xml:space="preserve"> and coherent group 0 has more (or equal) capable PA than coherent group 1</w:t>
      </w:r>
      <w:r w:rsidR="00270AC6">
        <w:t xml:space="preserve">. </w:t>
      </w:r>
    </w:p>
    <w:p w14:paraId="685298F1" w14:textId="58A517BE" w:rsidR="00417DEE" w:rsidRDefault="00417DEE" w:rsidP="009A14B9">
      <w:r>
        <w:t xml:space="preserve">After this arrangement, the new codebook subset is determined by </w:t>
      </w:r>
      <w:r w:rsidR="00854F2D">
        <w:t xml:space="preserve">number of Tx ports, </w:t>
      </w:r>
      <w:r>
        <w:t xml:space="preserve">UE </w:t>
      </w:r>
      <w:r w:rsidR="00854F2D">
        <w:t>PA’s capability (</w:t>
      </w:r>
      <w:r>
        <w:t>capability 2</w:t>
      </w:r>
      <w:r w:rsidR="00854F2D">
        <w:t>/</w:t>
      </w:r>
      <w:r w:rsidR="001369B9">
        <w:t xml:space="preserve"> capability </w:t>
      </w:r>
      <w:r>
        <w:t>3</w:t>
      </w:r>
      <w:r w:rsidR="00854F2D">
        <w:t xml:space="preserve">), </w:t>
      </w:r>
      <w:r>
        <w:t>UE’s coherence capability</w:t>
      </w:r>
      <w:r w:rsidR="001369B9">
        <w:t>,</w:t>
      </w:r>
      <w:r>
        <w:t xml:space="preserve"> </w:t>
      </w:r>
      <w:r w:rsidR="00854F2D">
        <w:t xml:space="preserve">and </w:t>
      </w:r>
      <w:r w:rsidR="000F3428">
        <w:t xml:space="preserve">regardless </w:t>
      </w:r>
      <w:r w:rsidR="00854F2D">
        <w:t xml:space="preserve">of </w:t>
      </w:r>
      <w:r>
        <w:t>UE’s detailed PA configuration.</w:t>
      </w:r>
    </w:p>
    <w:p w14:paraId="2CCD8B4A" w14:textId="77777777" w:rsidR="00270AC6" w:rsidRDefault="00270AC6" w:rsidP="009A14B9"/>
    <w:p w14:paraId="2A49BA9C" w14:textId="3FC45CCB" w:rsidR="00FF0857" w:rsidRDefault="00FF0857" w:rsidP="00FF0857">
      <w:pPr>
        <w:pStyle w:val="Caption"/>
        <w:jc w:val="center"/>
      </w:pPr>
      <w:bookmarkStart w:id="3" w:name="_Ref7596777"/>
      <w:r>
        <w:t xml:space="preserve">Table </w:t>
      </w:r>
      <w:r>
        <w:fldChar w:fldCharType="begin"/>
      </w:r>
      <w:r>
        <w:instrText xml:space="preserve"> SEQ Table \* ARABIC </w:instrText>
      </w:r>
      <w:r>
        <w:fldChar w:fldCharType="separate"/>
      </w:r>
      <w:r w:rsidR="00F819FE">
        <w:rPr>
          <w:noProof/>
        </w:rPr>
        <w:t>1</w:t>
      </w:r>
      <w:r>
        <w:fldChar w:fldCharType="end"/>
      </w:r>
      <w:bookmarkEnd w:id="3"/>
      <w:r w:rsidR="00BA0F9D">
        <w:t>.</w:t>
      </w:r>
      <w:r>
        <w:t xml:space="preserve"> </w:t>
      </w:r>
      <w:r w:rsidRPr="00505743">
        <w:t>Allowed number of codewords according to UE capability and rank</w:t>
      </w:r>
    </w:p>
    <w:tbl>
      <w:tblPr>
        <w:tblStyle w:val="TableGrid"/>
        <w:tblW w:w="6580" w:type="dxa"/>
        <w:jc w:val="center"/>
        <w:tblLook w:val="04A0" w:firstRow="1" w:lastRow="0" w:firstColumn="1" w:lastColumn="0" w:noHBand="0" w:noVBand="1"/>
      </w:tblPr>
      <w:tblGrid>
        <w:gridCol w:w="1140"/>
        <w:gridCol w:w="1756"/>
        <w:gridCol w:w="1783"/>
        <w:gridCol w:w="1901"/>
      </w:tblGrid>
      <w:tr w:rsidR="003236C6" w:rsidRPr="003236C6" w14:paraId="79D8E8F6" w14:textId="77777777" w:rsidTr="009A14B9">
        <w:trPr>
          <w:trHeight w:val="386"/>
          <w:jc w:val="center"/>
        </w:trPr>
        <w:tc>
          <w:tcPr>
            <w:tcW w:w="1140" w:type="dxa"/>
            <w:shd w:val="clear" w:color="auto" w:fill="D9D9D9" w:themeFill="background1" w:themeFillShade="D9"/>
            <w:hideMark/>
          </w:tcPr>
          <w:p w14:paraId="6988B129" w14:textId="3BDA5A22" w:rsidR="00FF0857" w:rsidRPr="009A14B9" w:rsidRDefault="00FF0857" w:rsidP="009A14B9">
            <w:pPr>
              <w:spacing w:after="0"/>
              <w:jc w:val="center"/>
              <w:rPr>
                <w:rFonts w:ascii="Calibri" w:eastAsia="Times New Roman" w:hAnsi="Calibri"/>
                <w:b/>
                <w:bCs/>
                <w:szCs w:val="40"/>
              </w:rPr>
            </w:pPr>
            <w:r w:rsidRPr="009A14B9">
              <w:rPr>
                <w:rFonts w:ascii="Calibri" w:eastAsia="Times New Roman" w:hAnsi="Calibri"/>
                <w:b/>
                <w:bCs/>
                <w:szCs w:val="40"/>
              </w:rPr>
              <w:t>Rank</w:t>
            </w:r>
          </w:p>
        </w:tc>
        <w:tc>
          <w:tcPr>
            <w:tcW w:w="1756" w:type="dxa"/>
            <w:shd w:val="clear" w:color="auto" w:fill="D9D9D9" w:themeFill="background1" w:themeFillShade="D9"/>
            <w:hideMark/>
          </w:tcPr>
          <w:p w14:paraId="3C015E77" w14:textId="77777777" w:rsidR="00FF0857" w:rsidRPr="009A14B9" w:rsidRDefault="00FF0857" w:rsidP="000D2A53">
            <w:pPr>
              <w:spacing w:after="0"/>
              <w:rPr>
                <w:rFonts w:ascii="Calibri" w:eastAsia="Times New Roman" w:hAnsi="Calibri"/>
                <w:b/>
                <w:bCs/>
                <w:szCs w:val="40"/>
              </w:rPr>
            </w:pPr>
            <w:r w:rsidRPr="009A14B9">
              <w:rPr>
                <w:rFonts w:ascii="Calibri" w:eastAsia="Times New Roman" w:hAnsi="Calibri"/>
                <w:b/>
                <w:bCs/>
                <w:szCs w:val="40"/>
              </w:rPr>
              <w:t xml:space="preserve">Full Coherence </w:t>
            </w:r>
          </w:p>
        </w:tc>
        <w:tc>
          <w:tcPr>
            <w:tcW w:w="1783" w:type="dxa"/>
            <w:shd w:val="clear" w:color="auto" w:fill="D9D9D9" w:themeFill="background1" w:themeFillShade="D9"/>
            <w:hideMark/>
          </w:tcPr>
          <w:p w14:paraId="1B91DCA4" w14:textId="77777777" w:rsidR="00FF0857" w:rsidRPr="009A14B9" w:rsidRDefault="00FF0857" w:rsidP="000D2A53">
            <w:pPr>
              <w:spacing w:after="0"/>
              <w:rPr>
                <w:rFonts w:ascii="Calibri" w:eastAsia="Times New Roman" w:hAnsi="Calibri"/>
                <w:b/>
                <w:bCs/>
                <w:szCs w:val="40"/>
              </w:rPr>
            </w:pPr>
            <w:r w:rsidRPr="009A14B9">
              <w:rPr>
                <w:rFonts w:ascii="Calibri" w:eastAsia="Times New Roman" w:hAnsi="Calibri"/>
                <w:b/>
                <w:bCs/>
                <w:szCs w:val="40"/>
              </w:rPr>
              <w:t xml:space="preserve">Partially Coherent </w:t>
            </w:r>
          </w:p>
        </w:tc>
        <w:tc>
          <w:tcPr>
            <w:tcW w:w="1901" w:type="dxa"/>
            <w:shd w:val="clear" w:color="auto" w:fill="D9D9D9" w:themeFill="background1" w:themeFillShade="D9"/>
            <w:hideMark/>
          </w:tcPr>
          <w:p w14:paraId="45CA3826" w14:textId="77777777" w:rsidR="00FF0857" w:rsidRPr="009A14B9" w:rsidRDefault="00FF0857" w:rsidP="000D2A53">
            <w:pPr>
              <w:spacing w:after="0"/>
              <w:rPr>
                <w:rFonts w:ascii="Calibri" w:eastAsia="Times New Roman" w:hAnsi="Calibri"/>
                <w:b/>
                <w:bCs/>
                <w:szCs w:val="40"/>
              </w:rPr>
            </w:pPr>
            <w:r w:rsidRPr="009A14B9">
              <w:rPr>
                <w:rFonts w:ascii="Calibri" w:eastAsia="Times New Roman" w:hAnsi="Calibri"/>
                <w:b/>
                <w:bCs/>
                <w:szCs w:val="40"/>
              </w:rPr>
              <w:t>Non Coherent</w:t>
            </w:r>
          </w:p>
        </w:tc>
      </w:tr>
      <w:tr w:rsidR="003236C6" w:rsidRPr="003236C6" w14:paraId="2922BF65" w14:textId="77777777" w:rsidTr="009A14B9">
        <w:trPr>
          <w:trHeight w:val="327"/>
          <w:jc w:val="center"/>
        </w:trPr>
        <w:tc>
          <w:tcPr>
            <w:tcW w:w="1140" w:type="dxa"/>
            <w:shd w:val="clear" w:color="auto" w:fill="D9D9D9" w:themeFill="background1" w:themeFillShade="D9"/>
            <w:hideMark/>
          </w:tcPr>
          <w:p w14:paraId="116E196F" w14:textId="72D4D29C" w:rsidR="00FF0857" w:rsidRPr="009A14B9" w:rsidRDefault="00FF0857">
            <w:pPr>
              <w:spacing w:after="0"/>
              <w:jc w:val="center"/>
              <w:rPr>
                <w:rFonts w:ascii="Calibri" w:eastAsia="Times New Roman" w:hAnsi="Calibri"/>
                <w:b/>
                <w:bCs/>
                <w:szCs w:val="40"/>
              </w:rPr>
            </w:pPr>
            <w:r w:rsidRPr="009A14B9">
              <w:rPr>
                <w:rFonts w:ascii="Calibri" w:eastAsia="Times New Roman" w:hAnsi="Calibri"/>
                <w:b/>
                <w:bCs/>
                <w:szCs w:val="40"/>
              </w:rPr>
              <w:t>1</w:t>
            </w:r>
          </w:p>
        </w:tc>
        <w:tc>
          <w:tcPr>
            <w:tcW w:w="1756" w:type="dxa"/>
            <w:hideMark/>
          </w:tcPr>
          <w:p w14:paraId="47D278BD"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28</w:t>
            </w:r>
          </w:p>
        </w:tc>
        <w:tc>
          <w:tcPr>
            <w:tcW w:w="1783" w:type="dxa"/>
            <w:hideMark/>
          </w:tcPr>
          <w:p w14:paraId="706EB416"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12</w:t>
            </w:r>
          </w:p>
        </w:tc>
        <w:tc>
          <w:tcPr>
            <w:tcW w:w="1901" w:type="dxa"/>
            <w:hideMark/>
          </w:tcPr>
          <w:p w14:paraId="61FFB07E"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4</w:t>
            </w:r>
          </w:p>
        </w:tc>
      </w:tr>
      <w:tr w:rsidR="003236C6" w:rsidRPr="003236C6" w14:paraId="13A720BB" w14:textId="77777777" w:rsidTr="009A14B9">
        <w:trPr>
          <w:trHeight w:val="318"/>
          <w:jc w:val="center"/>
        </w:trPr>
        <w:tc>
          <w:tcPr>
            <w:tcW w:w="1140" w:type="dxa"/>
            <w:shd w:val="clear" w:color="auto" w:fill="D9D9D9" w:themeFill="background1" w:themeFillShade="D9"/>
            <w:hideMark/>
          </w:tcPr>
          <w:p w14:paraId="35155591" w14:textId="69A09D89" w:rsidR="00FF0857" w:rsidRPr="009A14B9" w:rsidRDefault="00FF0857">
            <w:pPr>
              <w:spacing w:after="0"/>
              <w:jc w:val="center"/>
              <w:rPr>
                <w:rFonts w:ascii="Calibri" w:eastAsia="Times New Roman" w:hAnsi="Calibri"/>
                <w:b/>
                <w:bCs/>
                <w:szCs w:val="40"/>
              </w:rPr>
            </w:pPr>
            <w:r w:rsidRPr="009A14B9">
              <w:rPr>
                <w:rFonts w:ascii="Calibri" w:eastAsia="Times New Roman" w:hAnsi="Calibri"/>
                <w:b/>
                <w:bCs/>
                <w:szCs w:val="40"/>
              </w:rPr>
              <w:t>2</w:t>
            </w:r>
          </w:p>
        </w:tc>
        <w:tc>
          <w:tcPr>
            <w:tcW w:w="1756" w:type="dxa"/>
            <w:hideMark/>
          </w:tcPr>
          <w:p w14:paraId="0E806748"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22</w:t>
            </w:r>
          </w:p>
        </w:tc>
        <w:tc>
          <w:tcPr>
            <w:tcW w:w="1783" w:type="dxa"/>
            <w:hideMark/>
          </w:tcPr>
          <w:p w14:paraId="6F06F332"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14</w:t>
            </w:r>
          </w:p>
        </w:tc>
        <w:tc>
          <w:tcPr>
            <w:tcW w:w="1901" w:type="dxa"/>
            <w:hideMark/>
          </w:tcPr>
          <w:p w14:paraId="78ACAE49"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6</w:t>
            </w:r>
          </w:p>
        </w:tc>
      </w:tr>
      <w:tr w:rsidR="003236C6" w:rsidRPr="003236C6" w14:paraId="00F49922" w14:textId="77777777" w:rsidTr="009A14B9">
        <w:trPr>
          <w:trHeight w:val="318"/>
          <w:jc w:val="center"/>
        </w:trPr>
        <w:tc>
          <w:tcPr>
            <w:tcW w:w="1140" w:type="dxa"/>
            <w:shd w:val="clear" w:color="auto" w:fill="D9D9D9" w:themeFill="background1" w:themeFillShade="D9"/>
            <w:hideMark/>
          </w:tcPr>
          <w:p w14:paraId="0D9F634E" w14:textId="16BEEE83" w:rsidR="00FF0857" w:rsidRPr="009A14B9" w:rsidRDefault="00FF0857">
            <w:pPr>
              <w:spacing w:after="0"/>
              <w:jc w:val="center"/>
              <w:rPr>
                <w:rFonts w:ascii="Calibri" w:eastAsia="Times New Roman" w:hAnsi="Calibri"/>
                <w:b/>
                <w:bCs/>
                <w:szCs w:val="40"/>
              </w:rPr>
            </w:pPr>
            <w:r w:rsidRPr="009A14B9">
              <w:rPr>
                <w:rFonts w:ascii="Calibri" w:eastAsia="Times New Roman" w:hAnsi="Calibri"/>
                <w:b/>
                <w:bCs/>
                <w:szCs w:val="40"/>
              </w:rPr>
              <w:t>3</w:t>
            </w:r>
          </w:p>
        </w:tc>
        <w:tc>
          <w:tcPr>
            <w:tcW w:w="1756" w:type="dxa"/>
            <w:hideMark/>
          </w:tcPr>
          <w:p w14:paraId="36B151BF"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7</w:t>
            </w:r>
          </w:p>
        </w:tc>
        <w:tc>
          <w:tcPr>
            <w:tcW w:w="1783" w:type="dxa"/>
            <w:hideMark/>
          </w:tcPr>
          <w:p w14:paraId="4B99DEE2"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3</w:t>
            </w:r>
          </w:p>
        </w:tc>
        <w:tc>
          <w:tcPr>
            <w:tcW w:w="1901" w:type="dxa"/>
            <w:hideMark/>
          </w:tcPr>
          <w:p w14:paraId="69085D6A"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1</w:t>
            </w:r>
          </w:p>
        </w:tc>
      </w:tr>
      <w:tr w:rsidR="003236C6" w:rsidRPr="003236C6" w14:paraId="1EB10CF9" w14:textId="77777777" w:rsidTr="009A14B9">
        <w:trPr>
          <w:trHeight w:val="318"/>
          <w:jc w:val="center"/>
        </w:trPr>
        <w:tc>
          <w:tcPr>
            <w:tcW w:w="1140" w:type="dxa"/>
            <w:shd w:val="clear" w:color="auto" w:fill="D9D9D9" w:themeFill="background1" w:themeFillShade="D9"/>
            <w:hideMark/>
          </w:tcPr>
          <w:p w14:paraId="42A356DD" w14:textId="35D0CA51" w:rsidR="00FF0857" w:rsidRPr="009A14B9" w:rsidRDefault="00FF0857">
            <w:pPr>
              <w:spacing w:after="0"/>
              <w:jc w:val="center"/>
              <w:rPr>
                <w:rFonts w:ascii="Calibri" w:eastAsia="Times New Roman" w:hAnsi="Calibri"/>
                <w:b/>
                <w:bCs/>
                <w:szCs w:val="40"/>
              </w:rPr>
            </w:pPr>
            <w:r w:rsidRPr="009A14B9">
              <w:rPr>
                <w:rFonts w:ascii="Calibri" w:eastAsia="Times New Roman" w:hAnsi="Calibri"/>
                <w:b/>
                <w:bCs/>
                <w:szCs w:val="40"/>
              </w:rPr>
              <w:t>4</w:t>
            </w:r>
          </w:p>
        </w:tc>
        <w:tc>
          <w:tcPr>
            <w:tcW w:w="1756" w:type="dxa"/>
            <w:hideMark/>
          </w:tcPr>
          <w:p w14:paraId="0F4827E4"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5</w:t>
            </w:r>
          </w:p>
        </w:tc>
        <w:tc>
          <w:tcPr>
            <w:tcW w:w="1783" w:type="dxa"/>
            <w:hideMark/>
          </w:tcPr>
          <w:p w14:paraId="5E2F1F55"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3</w:t>
            </w:r>
          </w:p>
        </w:tc>
        <w:tc>
          <w:tcPr>
            <w:tcW w:w="1901" w:type="dxa"/>
            <w:hideMark/>
          </w:tcPr>
          <w:p w14:paraId="50D1E0FC" w14:textId="77777777" w:rsidR="00FF0857" w:rsidRPr="009A14B9" w:rsidRDefault="00FF0857" w:rsidP="000D2A53">
            <w:pPr>
              <w:spacing w:after="0"/>
              <w:jc w:val="center"/>
              <w:rPr>
                <w:rFonts w:ascii="Calibri" w:eastAsia="Times New Roman" w:hAnsi="Calibri"/>
                <w:szCs w:val="40"/>
              </w:rPr>
            </w:pPr>
            <w:r w:rsidRPr="009A14B9">
              <w:rPr>
                <w:rFonts w:ascii="Calibri" w:eastAsia="Times New Roman" w:hAnsi="Calibri"/>
                <w:szCs w:val="40"/>
              </w:rPr>
              <w:t>1</w:t>
            </w:r>
          </w:p>
        </w:tc>
      </w:tr>
    </w:tbl>
    <w:p w14:paraId="3082CADF" w14:textId="77777777" w:rsidR="005962C0" w:rsidRDefault="005962C0" w:rsidP="005962C0">
      <w:pPr>
        <w:spacing w:after="160" w:line="259" w:lineRule="auto"/>
        <w:ind w:left="360"/>
        <w:contextualSpacing/>
      </w:pPr>
    </w:p>
    <w:p w14:paraId="3F006E93" w14:textId="760CAB94" w:rsidR="009316C0" w:rsidRDefault="00BA0F9D" w:rsidP="00F33C67">
      <w:pPr>
        <w:pStyle w:val="Caption"/>
        <w:jc w:val="center"/>
      </w:pPr>
      <w:bookmarkStart w:id="4" w:name="_Ref7600515"/>
      <w:r>
        <w:t xml:space="preserve">Table </w:t>
      </w:r>
      <w:r>
        <w:fldChar w:fldCharType="begin"/>
      </w:r>
      <w:r>
        <w:instrText xml:space="preserve"> SEQ Table \* ARABIC </w:instrText>
      </w:r>
      <w:r>
        <w:fldChar w:fldCharType="separate"/>
      </w:r>
      <w:r w:rsidR="00F819FE">
        <w:rPr>
          <w:noProof/>
        </w:rPr>
        <w:t>2</w:t>
      </w:r>
      <w:r>
        <w:fldChar w:fldCharType="end"/>
      </w:r>
      <w:bookmarkEnd w:id="4"/>
      <w:r>
        <w:t>. Example</w:t>
      </w:r>
      <w:r w:rsidR="001C4A11">
        <w:t>s</w:t>
      </w:r>
      <w:r>
        <w:t xml:space="preserve"> of </w:t>
      </w:r>
      <w:r w:rsidR="002C2648">
        <w:t xml:space="preserve">Mode 1 </w:t>
      </w:r>
      <w:r w:rsidR="00F03DE7">
        <w:t>for rank=1</w:t>
      </w:r>
      <w:r w:rsidR="002C2648">
        <w:br/>
        <w:t>(</w:t>
      </w:r>
      <m:oMath>
        <m:sSub>
          <m:sSubPr>
            <m:ctrlPr>
              <w:rPr>
                <w:rFonts w:ascii="Cambria Math" w:hAnsi="Cambria Math"/>
              </w:rPr>
            </m:ctrlPr>
          </m:sSubPr>
          <m:e>
            <m:r>
              <m:rPr>
                <m:sty m:val="b"/>
              </m:rPr>
              <w:rPr>
                <w:rFonts w:ascii="Cambria Math" w:hAnsi="Cambria Math"/>
              </w:rPr>
              <m:t>Ω</m:t>
            </m:r>
          </m:e>
          <m:sub>
            <m:r>
              <m:rPr>
                <m:sty m:val="bi"/>
              </m:rPr>
              <w:rPr>
                <w:rFonts w:ascii="Cambria Math" w:hAnsi="Cambria Math"/>
              </w:rPr>
              <m:t>r</m:t>
            </m:r>
          </m:sub>
        </m:sSub>
      </m:oMath>
      <w:r w:rsidR="002C2648">
        <w:t xml:space="preserve"> </w:t>
      </w:r>
      <w:r w:rsidR="002C2648" w:rsidRPr="00F5284E">
        <w:rPr>
          <w:i/>
        </w:rPr>
        <w:t>r</w:t>
      </w:r>
      <w:r w:rsidR="002C2648">
        <w:t xml:space="preserve">=1,..,maxRank-1 denote codebook subset for rank </w:t>
      </w:r>
      <w:r w:rsidR="002C2648" w:rsidRPr="00F5284E">
        <w:rPr>
          <w:i/>
        </w:rPr>
        <w:t>r</w:t>
      </w:r>
      <w:r w:rsidR="002C2648">
        <w:t xml:space="preserve"> transmission)</w:t>
      </w:r>
    </w:p>
    <w:tbl>
      <w:tblPr>
        <w:tblStyle w:val="TableGrid"/>
        <w:tblW w:w="0" w:type="auto"/>
        <w:jc w:val="center"/>
        <w:tblLayout w:type="fixed"/>
        <w:tblLook w:val="04A0" w:firstRow="1" w:lastRow="0" w:firstColumn="1" w:lastColumn="0" w:noHBand="0" w:noVBand="1"/>
      </w:tblPr>
      <w:tblGrid>
        <w:gridCol w:w="745"/>
        <w:gridCol w:w="1860"/>
        <w:gridCol w:w="2700"/>
        <w:gridCol w:w="1260"/>
        <w:gridCol w:w="2340"/>
      </w:tblGrid>
      <w:tr w:rsidR="00C74CED" w14:paraId="162D140B" w14:textId="3798B999" w:rsidTr="00457149">
        <w:trPr>
          <w:jc w:val="center"/>
        </w:trPr>
        <w:tc>
          <w:tcPr>
            <w:tcW w:w="745" w:type="dxa"/>
            <w:shd w:val="clear" w:color="auto" w:fill="D9D9D9" w:themeFill="background1" w:themeFillShade="D9"/>
          </w:tcPr>
          <w:p w14:paraId="59A60245" w14:textId="114B7E63" w:rsidR="00592B73" w:rsidRPr="00647466" w:rsidRDefault="00592B73" w:rsidP="009A14B9">
            <w:pPr>
              <w:spacing w:after="160" w:line="259" w:lineRule="auto"/>
              <w:contextualSpacing/>
              <w:jc w:val="center"/>
              <w:rPr>
                <w:lang w:val="en-US" w:eastAsia="x-none"/>
              </w:rPr>
            </w:pPr>
            <w:r>
              <w:rPr>
                <w:lang w:val="en-US" w:eastAsia="x-none"/>
              </w:rPr>
              <w:t>Case</w:t>
            </w:r>
          </w:p>
        </w:tc>
        <w:tc>
          <w:tcPr>
            <w:tcW w:w="1860" w:type="dxa"/>
            <w:shd w:val="clear" w:color="auto" w:fill="D9D9D9" w:themeFill="background1" w:themeFillShade="D9"/>
          </w:tcPr>
          <w:p w14:paraId="0E564B16" w14:textId="0015A6A0" w:rsidR="00592B73" w:rsidRDefault="00592B73" w:rsidP="000D2A53">
            <w:pPr>
              <w:spacing w:after="160" w:line="259" w:lineRule="auto"/>
              <w:contextualSpacing/>
            </w:pPr>
            <w:r w:rsidRPr="00647466">
              <w:rPr>
                <w:lang w:val="en-US" w:eastAsia="x-none"/>
              </w:rPr>
              <w:t>codebookSubset</w:t>
            </w:r>
            <w:r>
              <w:rPr>
                <w:lang w:val="en-US" w:eastAsia="x-none"/>
              </w:rPr>
              <w:t xml:space="preserve"> </w:t>
            </w:r>
            <w:r>
              <w:rPr>
                <w:lang w:val="en-US" w:eastAsia="x-none"/>
              </w:rPr>
              <w:br/>
              <w:t>(codeword indices)</w:t>
            </w:r>
          </w:p>
        </w:tc>
        <w:tc>
          <w:tcPr>
            <w:tcW w:w="2700" w:type="dxa"/>
            <w:shd w:val="clear" w:color="auto" w:fill="D9D9D9" w:themeFill="background1" w:themeFillShade="D9"/>
          </w:tcPr>
          <w:p w14:paraId="1F8B32DB" w14:textId="0BEE58E8" w:rsidR="00592B73" w:rsidRDefault="00592B73">
            <w:pPr>
              <w:spacing w:after="160" w:line="259" w:lineRule="auto"/>
              <w:contextualSpacing/>
            </w:pPr>
            <w:r>
              <w:t xml:space="preserve">UE’s PA configuration </w:t>
            </w:r>
          </w:p>
        </w:tc>
        <w:tc>
          <w:tcPr>
            <w:tcW w:w="1260" w:type="dxa"/>
            <w:shd w:val="clear" w:color="auto" w:fill="D9D9D9" w:themeFill="background1" w:themeFillShade="D9"/>
          </w:tcPr>
          <w:p w14:paraId="3A2AC750" w14:textId="77777777" w:rsidR="00592B73" w:rsidRDefault="00592B73" w:rsidP="000D2A53">
            <w:pPr>
              <w:spacing w:after="160" w:line="259" w:lineRule="auto"/>
              <w:contextualSpacing/>
            </w:pPr>
            <w:r>
              <w:t>UE’s capability</w:t>
            </w:r>
          </w:p>
        </w:tc>
        <w:tc>
          <w:tcPr>
            <w:tcW w:w="2340" w:type="dxa"/>
            <w:shd w:val="clear" w:color="auto" w:fill="D9D9D9" w:themeFill="background1" w:themeFillShade="D9"/>
          </w:tcPr>
          <w:p w14:paraId="7914E856" w14:textId="14C42C7A" w:rsidR="00592B73" w:rsidRDefault="00592B73" w:rsidP="000D2A53">
            <w:pPr>
              <w:spacing w:after="160" w:line="259" w:lineRule="auto"/>
              <w:contextualSpacing/>
            </w:pPr>
            <w:r>
              <w:t>Note</w:t>
            </w:r>
          </w:p>
        </w:tc>
      </w:tr>
      <w:tr w:rsidR="00FB589A" w14:paraId="2EC23079" w14:textId="32222F91" w:rsidTr="00991C62">
        <w:trPr>
          <w:jc w:val="center"/>
        </w:trPr>
        <w:tc>
          <w:tcPr>
            <w:tcW w:w="745" w:type="dxa"/>
          </w:tcPr>
          <w:p w14:paraId="5448A8B1" w14:textId="77777777" w:rsidR="00FB589A" w:rsidRDefault="00FB589A">
            <w:pPr>
              <w:spacing w:after="160" w:line="259" w:lineRule="auto"/>
              <w:contextualSpacing/>
              <w:jc w:val="center"/>
            </w:pPr>
          </w:p>
        </w:tc>
        <w:tc>
          <w:tcPr>
            <w:tcW w:w="8160" w:type="dxa"/>
            <w:gridSpan w:val="4"/>
          </w:tcPr>
          <w:p w14:paraId="64879F1F" w14:textId="0F77069F" w:rsidR="00FB589A" w:rsidRDefault="00FB589A" w:rsidP="000D2A53">
            <w:pPr>
              <w:spacing w:after="160" w:line="259" w:lineRule="auto"/>
              <w:contextualSpacing/>
              <w:jc w:val="center"/>
            </w:pPr>
            <w:r>
              <w:t>2Tx non-coherent UE</w:t>
            </w:r>
          </w:p>
        </w:tc>
      </w:tr>
      <w:tr w:rsidR="00C74CED" w14:paraId="40D0EB0C" w14:textId="41F0531C" w:rsidTr="00457149">
        <w:trPr>
          <w:jc w:val="center"/>
        </w:trPr>
        <w:tc>
          <w:tcPr>
            <w:tcW w:w="745" w:type="dxa"/>
          </w:tcPr>
          <w:p w14:paraId="7D4BD55D" w14:textId="5DE1A9CE" w:rsidR="00592B73" w:rsidRDefault="00592B73" w:rsidP="009A14B9">
            <w:pPr>
              <w:spacing w:after="160" w:line="259" w:lineRule="auto"/>
              <w:contextualSpacing/>
              <w:jc w:val="center"/>
              <w:rPr>
                <w:rFonts w:ascii="Arial" w:eastAsia="MS Mincho" w:hAnsi="Arial" w:cs="Arial"/>
              </w:rPr>
            </w:pPr>
            <w:r>
              <w:rPr>
                <w:rFonts w:ascii="Arial" w:eastAsia="MS Mincho" w:hAnsi="Arial" w:cs="Arial"/>
              </w:rPr>
              <w:t>1</w:t>
            </w:r>
          </w:p>
        </w:tc>
        <w:tc>
          <w:tcPr>
            <w:tcW w:w="1860" w:type="dxa"/>
          </w:tcPr>
          <w:p w14:paraId="6ACA6799" w14:textId="432FC3D7" w:rsidR="00592B73" w:rsidRPr="00647466" w:rsidRDefault="007A1833" w:rsidP="003252FD">
            <w:pPr>
              <w:spacing w:after="160" w:line="259" w:lineRule="auto"/>
              <w:contextualSpacing/>
              <w:rPr>
                <w:lang w:val="en-US" w:eastAsia="x-none"/>
              </w:rPr>
            </w:pP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w:rPr>
                      <w:rFonts w:ascii="Cambria Math" w:hAnsi="Cambria Math"/>
                    </w:rPr>
                    <m:t>1</m:t>
                  </m:r>
                </m:sub>
              </m:sSub>
            </m:oMath>
            <w:r w:rsidR="00592B73">
              <w:t xml:space="preserve"> = [2,3]</w:t>
            </w:r>
          </w:p>
        </w:tc>
        <w:tc>
          <w:tcPr>
            <w:tcW w:w="2700" w:type="dxa"/>
          </w:tcPr>
          <w:p w14:paraId="71F54A05" w14:textId="77777777" w:rsidR="00592B73" w:rsidRDefault="00592B73" w:rsidP="000D2A53">
            <w:pPr>
              <w:spacing w:after="160" w:line="259" w:lineRule="auto"/>
              <w:contextualSpacing/>
            </w:pPr>
            <w:r>
              <w:t>PA = [20, 20] dBm</w:t>
            </w:r>
          </w:p>
        </w:tc>
        <w:tc>
          <w:tcPr>
            <w:tcW w:w="1260" w:type="dxa"/>
          </w:tcPr>
          <w:p w14:paraId="6A25A251" w14:textId="77777777" w:rsidR="00592B73" w:rsidRDefault="00592B73" w:rsidP="000D2A53">
            <w:pPr>
              <w:spacing w:after="160" w:line="259" w:lineRule="auto"/>
              <w:contextualSpacing/>
            </w:pPr>
            <w:r>
              <w:t>Capability 2</w:t>
            </w:r>
          </w:p>
        </w:tc>
        <w:tc>
          <w:tcPr>
            <w:tcW w:w="2340" w:type="dxa"/>
          </w:tcPr>
          <w:p w14:paraId="3BB133C3" w14:textId="77777777" w:rsidR="00592B73" w:rsidRDefault="00592B73" w:rsidP="000D2A53">
            <w:pPr>
              <w:spacing w:after="160" w:line="259" w:lineRule="auto"/>
              <w:contextualSpacing/>
            </w:pPr>
          </w:p>
        </w:tc>
      </w:tr>
      <w:tr w:rsidR="00C74CED" w14:paraId="51CE82A1" w14:textId="181B8A79" w:rsidTr="00457149">
        <w:trPr>
          <w:trHeight w:val="179"/>
          <w:jc w:val="center"/>
        </w:trPr>
        <w:tc>
          <w:tcPr>
            <w:tcW w:w="745" w:type="dxa"/>
          </w:tcPr>
          <w:p w14:paraId="3907BC31" w14:textId="353C195E" w:rsidR="00592B73" w:rsidRDefault="00592B73" w:rsidP="009A14B9">
            <w:pPr>
              <w:spacing w:after="160" w:line="259" w:lineRule="auto"/>
              <w:contextualSpacing/>
              <w:jc w:val="center"/>
              <w:rPr>
                <w:rFonts w:ascii="Arial" w:eastAsia="MS Mincho" w:hAnsi="Arial" w:cs="Arial"/>
              </w:rPr>
            </w:pPr>
            <w:r>
              <w:rPr>
                <w:rFonts w:ascii="Arial" w:eastAsia="MS Mincho" w:hAnsi="Arial" w:cs="Arial"/>
              </w:rPr>
              <w:t>2</w:t>
            </w:r>
          </w:p>
        </w:tc>
        <w:tc>
          <w:tcPr>
            <w:tcW w:w="1860" w:type="dxa"/>
          </w:tcPr>
          <w:p w14:paraId="29D5FB3C" w14:textId="61454227" w:rsidR="00592B73" w:rsidRDefault="007A1833" w:rsidP="000D2A53">
            <w:pPr>
              <w:spacing w:after="160" w:line="259" w:lineRule="auto"/>
              <w:contextualSpacing/>
            </w:pP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w:rPr>
                      <w:rFonts w:ascii="Cambria Math" w:hAnsi="Cambria Math"/>
                    </w:rPr>
                    <m:t>1</m:t>
                  </m:r>
                </m:sub>
              </m:sSub>
            </m:oMath>
            <w:r w:rsidR="00592B73">
              <w:t xml:space="preserve"> = [0,3]</w:t>
            </w:r>
          </w:p>
        </w:tc>
        <w:tc>
          <w:tcPr>
            <w:tcW w:w="2700" w:type="dxa"/>
          </w:tcPr>
          <w:p w14:paraId="1113F867" w14:textId="77777777" w:rsidR="00592B73" w:rsidRDefault="00592B73" w:rsidP="000D2A53">
            <w:pPr>
              <w:spacing w:after="160" w:line="259" w:lineRule="auto"/>
              <w:contextualSpacing/>
            </w:pPr>
            <w:r>
              <w:t>PA = [23, 20] dBm</w:t>
            </w:r>
          </w:p>
        </w:tc>
        <w:tc>
          <w:tcPr>
            <w:tcW w:w="1260" w:type="dxa"/>
          </w:tcPr>
          <w:p w14:paraId="462D4575" w14:textId="77777777" w:rsidR="00592B73" w:rsidRDefault="00592B73" w:rsidP="000D2A53">
            <w:pPr>
              <w:spacing w:after="160" w:line="259" w:lineRule="auto"/>
              <w:contextualSpacing/>
            </w:pPr>
            <w:r>
              <w:t>Capability 3</w:t>
            </w:r>
          </w:p>
        </w:tc>
        <w:tc>
          <w:tcPr>
            <w:tcW w:w="2340" w:type="dxa"/>
          </w:tcPr>
          <w:p w14:paraId="739BF422" w14:textId="12DF5B20" w:rsidR="00592B73" w:rsidRDefault="00E23325" w:rsidP="000D2A53">
            <w:pPr>
              <w:spacing w:after="160" w:line="259" w:lineRule="auto"/>
              <w:contextualSpacing/>
            </w:pPr>
            <w:r>
              <w:t>Port0 can achieve 23dBm</w:t>
            </w:r>
          </w:p>
        </w:tc>
      </w:tr>
      <w:tr w:rsidR="00C74CED" w14:paraId="197760B1" w14:textId="40F1B4B0" w:rsidTr="00457149">
        <w:trPr>
          <w:jc w:val="center"/>
        </w:trPr>
        <w:tc>
          <w:tcPr>
            <w:tcW w:w="745" w:type="dxa"/>
          </w:tcPr>
          <w:p w14:paraId="31BF6CD4" w14:textId="5DA5FEEB" w:rsidR="00592B73" w:rsidRPr="003252FD" w:rsidRDefault="00592B73">
            <w:pPr>
              <w:spacing w:after="160" w:line="259" w:lineRule="auto"/>
              <w:contextualSpacing/>
              <w:jc w:val="center"/>
            </w:pPr>
            <w:r w:rsidRPr="003252FD">
              <w:rPr>
                <w:rFonts w:ascii="Arial" w:eastAsia="MS Mincho" w:hAnsi="Arial" w:cs="Arial"/>
              </w:rPr>
              <w:t>3</w:t>
            </w:r>
          </w:p>
        </w:tc>
        <w:tc>
          <w:tcPr>
            <w:tcW w:w="1860" w:type="dxa"/>
          </w:tcPr>
          <w:p w14:paraId="7A762E41" w14:textId="78CB7E76" w:rsidR="00592B73" w:rsidRPr="003252FD" w:rsidRDefault="007A1833">
            <w:pPr>
              <w:spacing w:after="160" w:line="259" w:lineRule="auto"/>
              <w:contextualSpacing/>
            </w:pPr>
            <m:oMath>
              <m:sSub>
                <m:sSubPr>
                  <m:ctrlPr>
                    <w:rPr>
                      <w:rFonts w:ascii="Cambria Math" w:hAnsi="Cambria Math"/>
                    </w:rPr>
                  </m:ctrlPr>
                </m:sSubPr>
                <m:e>
                  <m:r>
                    <m:rPr>
                      <m:sty m:val="p"/>
                    </m:rPr>
                    <w:rPr>
                      <w:rFonts w:ascii="Cambria Math" w:hAnsi="Cambria Math"/>
                    </w:rPr>
                    <m:t>Ω</m:t>
                  </m:r>
                </m:e>
                <m:sub>
                  <m:r>
                    <m:rPr>
                      <m:sty m:val="p"/>
                    </m:rPr>
                    <w:rPr>
                      <w:rFonts w:ascii="Cambria Math" w:hAnsi="Cambria Math"/>
                    </w:rPr>
                    <m:t>1</m:t>
                  </m:r>
                </m:sub>
              </m:sSub>
            </m:oMath>
            <w:r w:rsidR="00592B73" w:rsidRPr="003252FD">
              <w:t xml:space="preserve"> = [1,3]</w:t>
            </w:r>
          </w:p>
        </w:tc>
        <w:tc>
          <w:tcPr>
            <w:tcW w:w="2700" w:type="dxa"/>
          </w:tcPr>
          <w:p w14:paraId="22D976AA" w14:textId="77777777" w:rsidR="00592B73" w:rsidRPr="003252FD" w:rsidRDefault="00592B73">
            <w:pPr>
              <w:spacing w:after="160" w:line="259" w:lineRule="auto"/>
              <w:contextualSpacing/>
            </w:pPr>
            <w:r w:rsidRPr="003252FD">
              <w:t>PA = [20, 23] dBm</w:t>
            </w:r>
          </w:p>
        </w:tc>
        <w:tc>
          <w:tcPr>
            <w:tcW w:w="1260" w:type="dxa"/>
          </w:tcPr>
          <w:p w14:paraId="0BAA25C3" w14:textId="77777777" w:rsidR="00592B73" w:rsidRPr="003252FD" w:rsidRDefault="00592B73">
            <w:pPr>
              <w:spacing w:after="160" w:line="259" w:lineRule="auto"/>
              <w:contextualSpacing/>
            </w:pPr>
            <w:r w:rsidRPr="003252FD">
              <w:t>Capability 3</w:t>
            </w:r>
          </w:p>
        </w:tc>
        <w:tc>
          <w:tcPr>
            <w:tcW w:w="2340" w:type="dxa"/>
          </w:tcPr>
          <w:p w14:paraId="13AD92FD" w14:textId="55BBFDA2" w:rsidR="00592B73" w:rsidRPr="009A14B9" w:rsidRDefault="00E23325">
            <w:pPr>
              <w:spacing w:after="160" w:line="259" w:lineRule="auto"/>
              <w:contextualSpacing/>
              <w:rPr>
                <w:highlight w:val="yellow"/>
              </w:rPr>
            </w:pPr>
            <w:r w:rsidRPr="003252FD">
              <w:t>Port1 can achieve 23dBm</w:t>
            </w:r>
            <w:r w:rsidR="00D109AF" w:rsidRPr="003252FD">
              <w:t>.</w:t>
            </w:r>
            <w:r w:rsidR="00D109AF" w:rsidRPr="003252FD">
              <w:br/>
              <w:t xml:space="preserve">(this configuration can be excluded by requiring port-to-PA mapping following </w:t>
            </w:r>
            <w:r w:rsidR="00D109AF">
              <w:t>non-increasing capable power order</w:t>
            </w:r>
          </w:p>
        </w:tc>
      </w:tr>
      <w:tr w:rsidR="001D0200" w14:paraId="0B413B8E" w14:textId="04ECBF97" w:rsidTr="00AC08E0">
        <w:trPr>
          <w:jc w:val="center"/>
        </w:trPr>
        <w:tc>
          <w:tcPr>
            <w:tcW w:w="745" w:type="dxa"/>
          </w:tcPr>
          <w:p w14:paraId="0EC521E8" w14:textId="77777777" w:rsidR="001D0200" w:rsidRDefault="001D0200">
            <w:pPr>
              <w:spacing w:after="160" w:line="259" w:lineRule="auto"/>
              <w:contextualSpacing/>
              <w:jc w:val="center"/>
            </w:pPr>
          </w:p>
        </w:tc>
        <w:tc>
          <w:tcPr>
            <w:tcW w:w="8160" w:type="dxa"/>
            <w:gridSpan w:val="4"/>
          </w:tcPr>
          <w:p w14:paraId="097EC8DE" w14:textId="1A78EF04" w:rsidR="001D0200" w:rsidRDefault="001D0200" w:rsidP="000D2A53">
            <w:pPr>
              <w:spacing w:after="160" w:line="259" w:lineRule="auto"/>
              <w:contextualSpacing/>
              <w:jc w:val="center"/>
            </w:pPr>
            <w:r>
              <w:t>4Tx non-coherent UE</w:t>
            </w:r>
            <w:r w:rsidDel="001D0200">
              <w:t xml:space="preserve"> </w:t>
            </w:r>
          </w:p>
        </w:tc>
      </w:tr>
      <w:tr w:rsidR="00457149" w14:paraId="31563145" w14:textId="5FECAB49" w:rsidTr="00457149">
        <w:trPr>
          <w:jc w:val="center"/>
        </w:trPr>
        <w:tc>
          <w:tcPr>
            <w:tcW w:w="745" w:type="dxa"/>
          </w:tcPr>
          <w:p w14:paraId="4B2CE602" w14:textId="44315A0F" w:rsidR="00592B73" w:rsidRDefault="00592B73" w:rsidP="009A14B9">
            <w:pPr>
              <w:spacing w:after="160" w:line="259" w:lineRule="auto"/>
              <w:contextualSpacing/>
              <w:jc w:val="center"/>
              <w:rPr>
                <w:rFonts w:ascii="Arial" w:hAnsi="Arial"/>
              </w:rPr>
            </w:pPr>
            <w:r>
              <w:rPr>
                <w:rFonts w:ascii="Arial" w:hAnsi="Arial"/>
              </w:rPr>
              <w:t>4</w:t>
            </w:r>
          </w:p>
        </w:tc>
        <w:tc>
          <w:tcPr>
            <w:tcW w:w="1860" w:type="dxa"/>
          </w:tcPr>
          <w:p w14:paraId="60966F4E" w14:textId="3BB2888A" w:rsidR="00592B73" w:rsidRDefault="007A1833" w:rsidP="000D2A53">
            <w:pPr>
              <w:spacing w:after="160" w:line="259" w:lineRule="auto"/>
              <w:contextualSpacing/>
            </w:pP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w:rPr>
                      <w:rFonts w:ascii="Cambria Math" w:hAnsi="Cambria Math"/>
                    </w:rPr>
                    <m:t>1</m:t>
                  </m:r>
                </m:sub>
              </m:sSub>
            </m:oMath>
            <w:r w:rsidR="00592B73">
              <w:t xml:space="preserve"> =[12,14,20,22]</w:t>
            </w:r>
          </w:p>
          <w:p w14:paraId="516C97C8" w14:textId="59348077" w:rsidR="00592B73" w:rsidRDefault="00592B73" w:rsidP="000D2A53">
            <w:pPr>
              <w:spacing w:after="160" w:line="259" w:lineRule="auto"/>
              <w:contextualSpacing/>
            </w:pPr>
            <w:r w:rsidRPr="00E41034" w:rsidDel="00E41034">
              <w:t xml:space="preserve"> </w:t>
            </w:r>
          </w:p>
        </w:tc>
        <w:tc>
          <w:tcPr>
            <w:tcW w:w="2700" w:type="dxa"/>
          </w:tcPr>
          <w:p w14:paraId="4E07BC1B" w14:textId="49F893BB" w:rsidR="00592B73" w:rsidRDefault="00592B73" w:rsidP="000D2A53">
            <w:pPr>
              <w:spacing w:after="160" w:line="259" w:lineRule="auto"/>
              <w:contextualSpacing/>
            </w:pPr>
            <w:r>
              <w:t>PA = [17, 17, 17, 17] dBm</w:t>
            </w:r>
            <w:r w:rsidR="00A44C15">
              <w:br/>
              <w:t xml:space="preserve">or </w:t>
            </w:r>
            <w:r w:rsidR="00A44C15">
              <w:br/>
            </w:r>
            <w:r w:rsidR="00A44C15" w:rsidRPr="003252FD">
              <w:t>PA = [20, 20, 20, 20] dBm</w:t>
            </w:r>
          </w:p>
        </w:tc>
        <w:tc>
          <w:tcPr>
            <w:tcW w:w="1260" w:type="dxa"/>
          </w:tcPr>
          <w:p w14:paraId="19C83998" w14:textId="77777777" w:rsidR="00592B73" w:rsidRDefault="00592B73" w:rsidP="000D2A53">
            <w:pPr>
              <w:spacing w:after="160" w:line="259" w:lineRule="auto"/>
              <w:contextualSpacing/>
            </w:pPr>
            <w:r>
              <w:t>Capability 2</w:t>
            </w:r>
          </w:p>
        </w:tc>
        <w:tc>
          <w:tcPr>
            <w:tcW w:w="2340" w:type="dxa"/>
          </w:tcPr>
          <w:p w14:paraId="15740A08" w14:textId="059E5393" w:rsidR="00592B73" w:rsidRDefault="00475168">
            <w:pPr>
              <w:spacing w:after="160" w:line="259" w:lineRule="auto"/>
              <w:contextualSpacing/>
            </w:pPr>
            <w:r>
              <w:t xml:space="preserve">For rank=1, </w:t>
            </w:r>
            <w:r w:rsidR="00874A74">
              <w:t>4</w:t>
            </w:r>
            <w:r w:rsidR="00A90424">
              <w:t>-</w:t>
            </w:r>
            <w:r w:rsidR="00874A74">
              <w:t>port</w:t>
            </w:r>
            <w:r w:rsidR="00A90424">
              <w:t xml:space="preserve"> combination</w:t>
            </w:r>
            <w:r>
              <w:t xml:space="preserve"> is needed</w:t>
            </w:r>
            <w:r w:rsidR="00874A74">
              <w:t xml:space="preserve"> to achieve 23dBm</w:t>
            </w:r>
          </w:p>
        </w:tc>
      </w:tr>
      <w:tr w:rsidR="001D0200" w14:paraId="18103A3F" w14:textId="77777777" w:rsidTr="00EE45A7">
        <w:trPr>
          <w:jc w:val="center"/>
        </w:trPr>
        <w:tc>
          <w:tcPr>
            <w:tcW w:w="745" w:type="dxa"/>
          </w:tcPr>
          <w:p w14:paraId="2A9AF77C" w14:textId="77777777" w:rsidR="001D0200" w:rsidDel="00D1277F" w:rsidRDefault="001D0200" w:rsidP="009A14B9">
            <w:pPr>
              <w:spacing w:after="160" w:line="259" w:lineRule="auto"/>
              <w:contextualSpacing/>
              <w:jc w:val="center"/>
            </w:pPr>
          </w:p>
        </w:tc>
        <w:tc>
          <w:tcPr>
            <w:tcW w:w="8160" w:type="dxa"/>
            <w:gridSpan w:val="4"/>
          </w:tcPr>
          <w:p w14:paraId="78600E44" w14:textId="5DF7EEE4" w:rsidR="001D0200" w:rsidRDefault="001D0200" w:rsidP="003252FD">
            <w:pPr>
              <w:spacing w:after="160" w:line="259" w:lineRule="auto"/>
              <w:contextualSpacing/>
              <w:jc w:val="center"/>
            </w:pPr>
            <w:r>
              <w:t>4Tx partial-coherent UE</w:t>
            </w:r>
          </w:p>
        </w:tc>
      </w:tr>
      <w:tr w:rsidR="00457149" w14:paraId="32A66D98" w14:textId="148D42CE" w:rsidTr="00457149">
        <w:trPr>
          <w:jc w:val="center"/>
        </w:trPr>
        <w:tc>
          <w:tcPr>
            <w:tcW w:w="745" w:type="dxa"/>
          </w:tcPr>
          <w:p w14:paraId="76A183E7" w14:textId="4E313464" w:rsidR="00592B73" w:rsidRDefault="00D1277F" w:rsidP="009A14B9">
            <w:pPr>
              <w:spacing w:after="160" w:line="259" w:lineRule="auto"/>
              <w:contextualSpacing/>
              <w:jc w:val="center"/>
            </w:pPr>
            <w:r>
              <w:t>5</w:t>
            </w:r>
          </w:p>
        </w:tc>
        <w:tc>
          <w:tcPr>
            <w:tcW w:w="1860" w:type="dxa"/>
          </w:tcPr>
          <w:p w14:paraId="02033466" w14:textId="50B3AE07" w:rsidR="00592B73" w:rsidRDefault="007A1833" w:rsidP="000D2A53">
            <w:pPr>
              <w:spacing w:after="160" w:line="259" w:lineRule="auto"/>
              <w:contextualSpacing/>
            </w:pPr>
            <m:oMath>
              <m:sSub>
                <m:sSubPr>
                  <m:ctrlPr>
                    <w:rPr>
                      <w:rFonts w:ascii="Cambria Math" w:hAnsi="Cambria Math"/>
                      <w:i/>
                    </w:rPr>
                  </m:ctrlPr>
                </m:sSubPr>
                <m:e>
                  <m:r>
                    <m:rPr>
                      <m:sty m:val="p"/>
                    </m:rPr>
                    <w:rPr>
                      <w:rFonts w:ascii="Cambria Math" w:hAnsi="Cambria Math"/>
                    </w:rPr>
                    <m:t>Ω</m:t>
                  </m:r>
                  <m:ctrlPr>
                    <w:rPr>
                      <w:rFonts w:ascii="Cambria Math" w:hAnsi="Cambria Math"/>
                    </w:rPr>
                  </m:ctrlPr>
                </m:e>
                <m:sub>
                  <m:r>
                    <w:rPr>
                      <w:rFonts w:ascii="Cambria Math" w:hAnsi="Cambria Math"/>
                    </w:rPr>
                    <m:t>1</m:t>
                  </m:r>
                </m:sub>
              </m:sSub>
            </m:oMath>
            <w:r w:rsidR="00592B73">
              <w:t xml:space="preserve"> =[0]</w:t>
            </w:r>
          </w:p>
          <w:p w14:paraId="56B31493" w14:textId="2DD88D6D" w:rsidR="00592B73" w:rsidDel="00B136B4" w:rsidRDefault="00592B73" w:rsidP="000D2A53">
            <w:pPr>
              <w:spacing w:after="160" w:line="259" w:lineRule="auto"/>
              <w:contextualSpacing/>
            </w:pPr>
          </w:p>
        </w:tc>
        <w:tc>
          <w:tcPr>
            <w:tcW w:w="2700" w:type="dxa"/>
          </w:tcPr>
          <w:p w14:paraId="2F2934FA" w14:textId="499403DB" w:rsidR="00BC11ED" w:rsidRDefault="00592B73">
            <w:pPr>
              <w:spacing w:after="160" w:line="259" w:lineRule="auto"/>
              <w:contextualSpacing/>
            </w:pPr>
            <w:r w:rsidRPr="003252FD">
              <w:rPr>
                <w:sz w:val="18"/>
              </w:rPr>
              <w:t>PA = [23</w:t>
            </w:r>
            <w:r w:rsidR="00BC11ED" w:rsidRPr="003252FD">
              <w:rPr>
                <w:sz w:val="18"/>
              </w:rPr>
              <w:t>*</w:t>
            </w:r>
            <w:r w:rsidRPr="003252FD">
              <w:rPr>
                <w:sz w:val="18"/>
              </w:rPr>
              <w:t>, 17</w:t>
            </w:r>
            <w:r w:rsidR="00BC11ED" w:rsidRPr="003252FD">
              <w:rPr>
                <w:sz w:val="18"/>
              </w:rPr>
              <w:t>**</w:t>
            </w:r>
            <w:r w:rsidRPr="003252FD">
              <w:rPr>
                <w:sz w:val="18"/>
              </w:rPr>
              <w:t>, 17</w:t>
            </w:r>
            <w:r w:rsidR="00BC11ED" w:rsidRPr="003252FD">
              <w:rPr>
                <w:sz w:val="18"/>
              </w:rPr>
              <w:t>*</w:t>
            </w:r>
            <w:r w:rsidRPr="003252FD">
              <w:rPr>
                <w:sz w:val="18"/>
              </w:rPr>
              <w:t>, 17</w:t>
            </w:r>
            <w:r w:rsidR="00BC11ED" w:rsidRPr="003252FD">
              <w:rPr>
                <w:sz w:val="18"/>
              </w:rPr>
              <w:t>**</w:t>
            </w:r>
            <w:r w:rsidRPr="003252FD">
              <w:rPr>
                <w:sz w:val="18"/>
              </w:rPr>
              <w:t>] dBm</w:t>
            </w:r>
            <w:r w:rsidR="00A44C15">
              <w:br/>
            </w:r>
            <w:r w:rsidR="00303167">
              <w:t xml:space="preserve">  </w:t>
            </w:r>
            <w:r w:rsidR="00BC11ED" w:rsidRPr="009A14B9">
              <w:rPr>
                <w:sz w:val="18"/>
              </w:rPr>
              <w:t>*</w:t>
            </w:r>
            <w:r w:rsidR="00303167">
              <w:rPr>
                <w:sz w:val="18"/>
              </w:rPr>
              <w:t xml:space="preserve">: </w:t>
            </w:r>
            <w:r w:rsidR="00BC11ED" w:rsidRPr="009A14B9">
              <w:rPr>
                <w:sz w:val="18"/>
              </w:rPr>
              <w:t>coherent group</w:t>
            </w:r>
            <w:r w:rsidR="00303167">
              <w:rPr>
                <w:sz w:val="18"/>
              </w:rPr>
              <w:t xml:space="preserve"> 0</w:t>
            </w:r>
            <w:r w:rsidR="00303167">
              <w:rPr>
                <w:sz w:val="18"/>
              </w:rPr>
              <w:br/>
              <w:t xml:space="preserve">**: </w:t>
            </w:r>
            <w:r w:rsidR="00303167" w:rsidRPr="009A14B9">
              <w:rPr>
                <w:sz w:val="18"/>
              </w:rPr>
              <w:t>coherent group</w:t>
            </w:r>
            <w:r w:rsidR="00303167">
              <w:rPr>
                <w:sz w:val="18"/>
              </w:rPr>
              <w:t xml:space="preserve"> 1</w:t>
            </w:r>
          </w:p>
        </w:tc>
        <w:tc>
          <w:tcPr>
            <w:tcW w:w="1260" w:type="dxa"/>
          </w:tcPr>
          <w:p w14:paraId="5AE23209" w14:textId="77777777" w:rsidR="00592B73" w:rsidRDefault="00592B73" w:rsidP="000D2A53">
            <w:pPr>
              <w:spacing w:after="160" w:line="259" w:lineRule="auto"/>
              <w:contextualSpacing/>
            </w:pPr>
            <w:r>
              <w:t>Capability 3</w:t>
            </w:r>
          </w:p>
        </w:tc>
        <w:tc>
          <w:tcPr>
            <w:tcW w:w="2340" w:type="dxa"/>
          </w:tcPr>
          <w:p w14:paraId="0A48A3B1" w14:textId="4E64C146" w:rsidR="00592B73" w:rsidRDefault="00475168">
            <w:pPr>
              <w:spacing w:after="160" w:line="259" w:lineRule="auto"/>
              <w:contextualSpacing/>
            </w:pPr>
            <w:r>
              <w:t>For rank=1, s</w:t>
            </w:r>
            <w:r w:rsidR="00526779">
              <w:t>ingle port0 can achieve 23dBm</w:t>
            </w:r>
          </w:p>
        </w:tc>
      </w:tr>
    </w:tbl>
    <w:p w14:paraId="0E9ED093" w14:textId="77777777" w:rsidR="009316C0" w:rsidRDefault="009316C0" w:rsidP="005962C0">
      <w:pPr>
        <w:spacing w:after="160" w:line="259" w:lineRule="auto"/>
        <w:ind w:left="360"/>
        <w:contextualSpacing/>
      </w:pPr>
    </w:p>
    <w:p w14:paraId="3140C0AC" w14:textId="77777777" w:rsidR="00FE498A" w:rsidRDefault="00FE498A">
      <w:pPr>
        <w:spacing w:after="160" w:line="259" w:lineRule="auto"/>
        <w:contextualSpacing/>
        <w:rPr>
          <w:b/>
          <w:i/>
        </w:rPr>
      </w:pPr>
    </w:p>
    <w:p w14:paraId="30D74170" w14:textId="4263A1E4" w:rsidR="0042172C" w:rsidRPr="003252FD" w:rsidRDefault="00270AC6" w:rsidP="003252FD">
      <w:pPr>
        <w:pStyle w:val="text"/>
        <w:rPr>
          <w:b/>
          <w:i/>
        </w:rPr>
      </w:pPr>
      <w:r w:rsidRPr="003252FD">
        <w:rPr>
          <w:b/>
          <w:i/>
        </w:rPr>
        <w:t xml:space="preserve">Proposal 2: In mode 1, </w:t>
      </w:r>
      <w:r w:rsidR="00AA6B26">
        <w:rPr>
          <w:rFonts w:ascii="Times New Roman" w:hAnsi="Times New Roman"/>
          <w:b/>
          <w:i/>
        </w:rPr>
        <w:t xml:space="preserve">to facilitate full Tx power transmission, </w:t>
      </w:r>
      <w:r w:rsidR="00F1244E" w:rsidRPr="003252FD">
        <w:rPr>
          <w:b/>
          <w:i/>
        </w:rPr>
        <w:t xml:space="preserve">arrange antenna port such that </w:t>
      </w:r>
    </w:p>
    <w:p w14:paraId="3A365320" w14:textId="77777777" w:rsidR="0042172C" w:rsidRPr="006D73E4" w:rsidRDefault="0042172C" w:rsidP="003252FD">
      <w:pPr>
        <w:pStyle w:val="text"/>
        <w:numPr>
          <w:ilvl w:val="0"/>
          <w:numId w:val="37"/>
        </w:numPr>
        <w:rPr>
          <w:b/>
          <w:i/>
        </w:rPr>
      </w:pPr>
      <w:r w:rsidRPr="003252FD">
        <w:rPr>
          <w:rFonts w:ascii="Times New Roman" w:hAnsi="Times New Roman"/>
          <w:b/>
          <w:i/>
        </w:rPr>
        <w:t xml:space="preserve">the PA output power is non-increasing with the port index for non-coherent UE </w:t>
      </w:r>
    </w:p>
    <w:p w14:paraId="65BCAD4C" w14:textId="107E390C" w:rsidR="001369B9" w:rsidRPr="003252FD" w:rsidRDefault="00270AC6" w:rsidP="003252FD">
      <w:pPr>
        <w:pStyle w:val="text"/>
        <w:numPr>
          <w:ilvl w:val="0"/>
          <w:numId w:val="37"/>
        </w:numPr>
        <w:rPr>
          <w:b/>
          <w:i/>
        </w:rPr>
      </w:pPr>
      <w:r w:rsidRPr="003252FD">
        <w:rPr>
          <w:rFonts w:ascii="Times New Roman" w:hAnsi="Times New Roman"/>
          <w:b/>
          <w:i/>
        </w:rPr>
        <w:t xml:space="preserve">the PA output power within a coherence group is non-increasing with the port index for </w:t>
      </w:r>
      <w:r w:rsidR="00231088">
        <w:rPr>
          <w:rFonts w:ascii="Times New Roman" w:hAnsi="Times New Roman"/>
          <w:b/>
          <w:i/>
        </w:rPr>
        <w:t>partial-coherent UE and coherent group 0 contains a more capable PA</w:t>
      </w:r>
      <w:r w:rsidRPr="003252FD">
        <w:rPr>
          <w:rFonts w:ascii="Times New Roman" w:hAnsi="Times New Roman"/>
          <w:b/>
          <w:i/>
        </w:rPr>
        <w:t>.</w:t>
      </w:r>
      <w:r w:rsidR="001369B9">
        <w:rPr>
          <w:rFonts w:ascii="Times New Roman" w:hAnsi="Times New Roman"/>
          <w:b/>
          <w:i/>
        </w:rPr>
        <w:t xml:space="preserve"> </w:t>
      </w:r>
    </w:p>
    <w:p w14:paraId="6E45C2FD" w14:textId="1E2C6686" w:rsidR="00BE1C05" w:rsidRPr="003252FD" w:rsidRDefault="001369B9" w:rsidP="003252FD">
      <w:pPr>
        <w:pStyle w:val="text"/>
        <w:numPr>
          <w:ilvl w:val="0"/>
          <w:numId w:val="37"/>
        </w:numPr>
        <w:rPr>
          <w:b/>
          <w:i/>
        </w:rPr>
      </w:pPr>
      <w:r w:rsidRPr="00D3108D">
        <w:rPr>
          <w:b/>
          <w:i/>
        </w:rPr>
        <w:lastRenderedPageBreak/>
        <w:t>the new codebook subset</w:t>
      </w:r>
      <w:r w:rsidR="002326D7">
        <w:rPr>
          <w:b/>
          <w:i/>
        </w:rPr>
        <w:t xml:space="preserve"> for full Tx power</w:t>
      </w:r>
      <w:r w:rsidRPr="00D3108D">
        <w:rPr>
          <w:b/>
          <w:i/>
        </w:rPr>
        <w:t xml:space="preserve"> is determined by </w:t>
      </w:r>
      <w:r w:rsidR="00854F2D" w:rsidRPr="00854F2D">
        <w:rPr>
          <w:b/>
          <w:i/>
        </w:rPr>
        <w:t>by number of Tx ports, UE PA’s capability (capability 2/ capability 3), UE’s coherence capability, and regardless of UE’s detailed PA configuration</w:t>
      </w:r>
      <w:r w:rsidR="002326D7">
        <w:rPr>
          <w:rFonts w:ascii="Times New Roman" w:hAnsi="Times New Roman"/>
          <w:b/>
          <w:i/>
        </w:rPr>
        <w:t>.</w:t>
      </w:r>
    </w:p>
    <w:p w14:paraId="010D175C" w14:textId="0A85B265" w:rsidR="00BE1C05" w:rsidRDefault="00BE1C05" w:rsidP="003252FD"/>
    <w:p w14:paraId="02475732" w14:textId="2CE541FE" w:rsidR="00FF0857" w:rsidRPr="009A14B9" w:rsidRDefault="004A7397" w:rsidP="009A14B9">
      <w:pPr>
        <w:pStyle w:val="Heading3"/>
      </w:pPr>
      <w:r>
        <w:t>Discussion of s</w:t>
      </w:r>
      <w:r w:rsidR="007C4E65" w:rsidRPr="009A14B9">
        <w:t>ignalling</w:t>
      </w:r>
      <w:r w:rsidR="0091444F">
        <w:t xml:space="preserve"> message </w:t>
      </w:r>
      <w:r w:rsidR="007C4E65" w:rsidRPr="009A14B9">
        <w:t xml:space="preserve"> </w:t>
      </w:r>
    </w:p>
    <w:p w14:paraId="379A77CC" w14:textId="77777777" w:rsidR="005D304C" w:rsidRDefault="005D304C" w:rsidP="005D304C">
      <w:pPr>
        <w:spacing w:after="160" w:line="259" w:lineRule="auto"/>
        <w:contextualSpacing/>
      </w:pPr>
    </w:p>
    <w:p w14:paraId="41D3E3EF" w14:textId="08B67DE5" w:rsidR="009C132E" w:rsidRDefault="009C132E" w:rsidP="005D304C">
      <w:pPr>
        <w:spacing w:after="160" w:line="259" w:lineRule="auto"/>
        <w:contextualSpacing/>
      </w:pPr>
      <w:r>
        <w:t>In order to work with various UE’s hardware</w:t>
      </w:r>
      <w:r w:rsidR="00771AA1">
        <w:t>/PA</w:t>
      </w:r>
      <w:r>
        <w:t xml:space="preserve"> </w:t>
      </w:r>
      <w:r w:rsidR="007C4E65">
        <w:t>configuration</w:t>
      </w:r>
      <w:r>
        <w:t xml:space="preserve">, </w:t>
      </w:r>
      <w:r w:rsidR="004F70E2">
        <w:t>one possible way to report UE support</w:t>
      </w:r>
      <w:r w:rsidR="00FB184B">
        <w:t>ing</w:t>
      </w:r>
      <w:r w:rsidR="004F70E2">
        <w:t xml:space="preserve"> codewords for full power Tx is to use bitmap</w:t>
      </w:r>
      <w:r w:rsidR="00756A52">
        <w:t xml:space="preserve">, indicating </w:t>
      </w:r>
      <w:r w:rsidR="00F77FBF">
        <w:t>codewords</w:t>
      </w:r>
      <w:r w:rsidR="00BC2945">
        <w:t xml:space="preserve"> for which full power transmission is supported</w:t>
      </w:r>
      <w:r w:rsidR="004F70E2">
        <w:t xml:space="preserve">. </w:t>
      </w:r>
      <w:r w:rsidR="00B34C2C">
        <w:t>To reduce over</w:t>
      </w:r>
      <w:r w:rsidR="00DD2746">
        <w:t>h</w:t>
      </w:r>
      <w:r w:rsidR="00B34C2C">
        <w:t>ead, o</w:t>
      </w:r>
      <w:r w:rsidR="007B4102">
        <w:t xml:space="preserve">ne can also consider </w:t>
      </w:r>
      <w:r w:rsidR="000409CB">
        <w:t>to pre</w:t>
      </w:r>
      <w:r w:rsidR="009C182F">
        <w:t>-</w:t>
      </w:r>
      <w:r w:rsidR="000409CB">
        <w:t xml:space="preserve">define </w:t>
      </w:r>
      <w:r w:rsidR="00877A16">
        <w:t xml:space="preserve">a </w:t>
      </w:r>
      <w:r w:rsidR="00CB2872">
        <w:t>few</w:t>
      </w:r>
      <w:r w:rsidR="000409CB">
        <w:t xml:space="preserve"> combination</w:t>
      </w:r>
      <w:r w:rsidR="00CB2872">
        <w:t>s</w:t>
      </w:r>
      <w:r w:rsidR="000409CB">
        <w:t xml:space="preserve"> of </w:t>
      </w:r>
      <w:r w:rsidR="00CB2872">
        <w:t>codebook subset and UE only can report one of those combination.</w:t>
      </w:r>
    </w:p>
    <w:p w14:paraId="4C742AF3" w14:textId="77777777" w:rsidR="002E1C7F" w:rsidRDefault="002E1C7F" w:rsidP="005D304C">
      <w:pPr>
        <w:spacing w:after="160" w:line="259" w:lineRule="auto"/>
        <w:contextualSpacing/>
      </w:pPr>
    </w:p>
    <w:p w14:paraId="53149ABA" w14:textId="17259715" w:rsidR="00EB02AB" w:rsidRDefault="00137C87" w:rsidP="005962C0">
      <w:pPr>
        <w:spacing w:after="160" w:line="259" w:lineRule="auto"/>
        <w:contextualSpacing/>
      </w:pPr>
      <w:r>
        <w:t>F</w:t>
      </w:r>
      <w:r w:rsidR="00932F72">
        <w:t>or non-coherent</w:t>
      </w:r>
      <w:r w:rsidR="009C6097">
        <w:t>/partial-coherent</w:t>
      </w:r>
      <w:r w:rsidR="00932F72">
        <w:t xml:space="preserve"> UE</w:t>
      </w:r>
      <w:r>
        <w:t>,</w:t>
      </w:r>
      <w:r w:rsidR="00932F72">
        <w:t xml:space="preserve"> the report</w:t>
      </w:r>
      <w:r w:rsidR="005108E1">
        <w:t>ed</w:t>
      </w:r>
      <w:r w:rsidR="00932F72">
        <w:t xml:space="preserve"> </w:t>
      </w:r>
      <w:r w:rsidR="009C6097">
        <w:t xml:space="preserve">codebook subset </w:t>
      </w:r>
      <w:r w:rsidR="0052157C">
        <w:t xml:space="preserve">should </w:t>
      </w:r>
      <w:r w:rsidR="000A2D69">
        <w:t xml:space="preserve">include </w:t>
      </w:r>
      <w:r w:rsidR="00CD6804">
        <w:t>codeword</w:t>
      </w:r>
      <w:r w:rsidR="006E5053">
        <w:t>s</w:t>
      </w:r>
      <w:r w:rsidR="00CD6804">
        <w:t xml:space="preserve"> </w:t>
      </w:r>
      <w:r w:rsidR="0024449A">
        <w:t>that outside non-coherent/partial-coherent codeword</w:t>
      </w:r>
      <w:r w:rsidR="005E015B">
        <w:t>s</w:t>
      </w:r>
      <w:r w:rsidR="006524D2">
        <w:t>.</w:t>
      </w:r>
      <w:r w:rsidR="00932F72">
        <w:t xml:space="preserve"> </w:t>
      </w:r>
      <w:r w:rsidR="005E015B">
        <w:t xml:space="preserve">There are some options on </w:t>
      </w:r>
      <w:r w:rsidR="00A9119A">
        <w:t xml:space="preserve">how </w:t>
      </w:r>
      <w:r w:rsidR="008173D4">
        <w:t>gNB</w:t>
      </w:r>
      <w:r w:rsidR="00F1750E">
        <w:t>/UE</w:t>
      </w:r>
      <w:r w:rsidR="008173D4">
        <w:t xml:space="preserve"> interpret the codebook subset and signal TPMI in DCI, </w:t>
      </w:r>
    </w:p>
    <w:p w14:paraId="2F982A33" w14:textId="0971CA6C" w:rsidR="00B7338E" w:rsidRDefault="00B7338E" w:rsidP="005962C0">
      <w:pPr>
        <w:pStyle w:val="ListParagraph"/>
        <w:numPr>
          <w:ilvl w:val="0"/>
          <w:numId w:val="23"/>
        </w:numPr>
        <w:spacing w:after="160" w:line="259" w:lineRule="auto"/>
        <w:contextualSpacing/>
      </w:pPr>
      <w:r>
        <w:t xml:space="preserve">Option 1: use DCI size </w:t>
      </w:r>
      <w:r w:rsidR="00BC2945">
        <w:t xml:space="preserve">is set according to </w:t>
      </w:r>
      <w:r>
        <w:rPr>
          <w:i/>
          <w:iCs/>
        </w:rPr>
        <w:t>codebookSubset=</w:t>
      </w:r>
      <w:r w:rsidRPr="007874F6">
        <w:t xml:space="preserve"> </w:t>
      </w:r>
      <w:r w:rsidRPr="007874F6">
        <w:rPr>
          <w:i/>
          <w:iCs/>
        </w:rPr>
        <w:t>fullyAndPartialAndNonCoherent</w:t>
      </w:r>
      <w:r w:rsidR="00CF6CD7">
        <w:rPr>
          <w:iCs/>
        </w:rPr>
        <w:t>.</w:t>
      </w:r>
      <w:r>
        <w:rPr>
          <w:iCs/>
        </w:rPr>
        <w:t xml:space="preserve"> </w:t>
      </w:r>
      <w:r w:rsidR="00BC2945">
        <w:rPr>
          <w:iCs/>
        </w:rPr>
        <w:t xml:space="preserve">In this case, all the codewords, irrespective whether they are for non-coherent, partially-coherent and fully coherenet are supported from signaling’s point of view. </w:t>
      </w:r>
      <w:r w:rsidR="00CF6CD7">
        <w:rPr>
          <w:iCs/>
        </w:rPr>
        <w:t>T</w:t>
      </w:r>
      <w:r>
        <w:rPr>
          <w:iCs/>
        </w:rPr>
        <w:t xml:space="preserve">he TPMI has no </w:t>
      </w:r>
      <w:r w:rsidRPr="007874F6">
        <w:rPr>
          <w:iCs/>
        </w:rPr>
        <w:t>ambiguity</w:t>
      </w:r>
      <w:r>
        <w:rPr>
          <w:iCs/>
        </w:rPr>
        <w:t xml:space="preserve"> but require more DCI bits</w:t>
      </w:r>
      <w:r w:rsidR="00CF6CD7">
        <w:t>.</w:t>
      </w:r>
    </w:p>
    <w:p w14:paraId="34F44201" w14:textId="6D6F35B9" w:rsidR="00CF6CD7" w:rsidRDefault="008173D4" w:rsidP="00CF6CD7">
      <w:pPr>
        <w:pStyle w:val="ListParagraph"/>
        <w:numPr>
          <w:ilvl w:val="0"/>
          <w:numId w:val="23"/>
        </w:numPr>
        <w:spacing w:after="160" w:line="259" w:lineRule="auto"/>
        <w:contextualSpacing/>
      </w:pPr>
      <w:r>
        <w:t xml:space="preserve">Option </w:t>
      </w:r>
      <w:r w:rsidR="00B7338E">
        <w:t>2</w:t>
      </w:r>
      <w:r>
        <w:t xml:space="preserve">: </w:t>
      </w:r>
      <w:r w:rsidR="00D307B1">
        <w:t xml:space="preserve">use the same DCI size as in Rel-15, </w:t>
      </w:r>
      <w:r w:rsidR="00401E6C">
        <w:t xml:space="preserve">and replace </w:t>
      </w:r>
      <w:r w:rsidR="001744C5">
        <w:t xml:space="preserve">the </w:t>
      </w:r>
      <w:r w:rsidR="001A49A8">
        <w:t xml:space="preserve">codeword that TPMI </w:t>
      </w:r>
      <w:r w:rsidR="000319BB">
        <w:t>points to within the restricted subset</w:t>
      </w:r>
      <w:r w:rsidR="008833B2">
        <w:t xml:space="preserve"> as the numbers are limited according to </w:t>
      </w:r>
      <w:r w:rsidR="008833B2">
        <w:fldChar w:fldCharType="begin"/>
      </w:r>
      <w:r w:rsidR="008833B2">
        <w:instrText xml:space="preserve"> REF _Ref7596777 \h </w:instrText>
      </w:r>
      <w:r w:rsidR="008833B2">
        <w:fldChar w:fldCharType="separate"/>
      </w:r>
      <w:r w:rsidR="008833B2">
        <w:t xml:space="preserve">Table </w:t>
      </w:r>
      <w:r w:rsidR="008833B2">
        <w:rPr>
          <w:noProof/>
        </w:rPr>
        <w:t>1</w:t>
      </w:r>
      <w:r w:rsidR="008833B2">
        <w:fldChar w:fldCharType="end"/>
      </w:r>
      <w:r w:rsidR="000319BB">
        <w:t>.</w:t>
      </w:r>
      <w:r w:rsidR="00FC34DF">
        <w:t xml:space="preserve"> </w:t>
      </w:r>
      <w:r w:rsidR="00CF6CD7" w:rsidRPr="00CF6CD7">
        <w:t xml:space="preserve">Note that the reported codebook subset are intended for full power Tx while the normal non-coherent/partial-coherent precoders (depend on UE’s capability) should be still valid when UE transmits power below Pcmax. Therefore, 1-bit indication for </w:t>
      </w:r>
      <w:r w:rsidR="008816A3">
        <w:t xml:space="preserve">switching to </w:t>
      </w:r>
      <w:r w:rsidR="00CF6CD7" w:rsidRPr="00CF6CD7">
        <w:t xml:space="preserve">new set </w:t>
      </w:r>
      <w:r w:rsidR="00CF6CD7">
        <w:t>might</w:t>
      </w:r>
      <w:r w:rsidR="00CF6CD7" w:rsidRPr="00CF6CD7">
        <w:t xml:space="preserve"> be required</w:t>
      </w:r>
      <w:r w:rsidR="00BC2945">
        <w:t xml:space="preserve"> which facilitates switching between the Rel-15 behavior and Rel-16 behavior at the UE if it is desirable to support both of them at a UE without RRC reconfiguration. However, Rel-15 behavior or Rel-16 behavior can be also selected and prescribed by the network for a Rel-16 UE, if one behaviour is good enough, then we can forgo the introduction of the additional “switching” bit</w:t>
      </w:r>
      <w:r w:rsidR="00CF6CD7" w:rsidRPr="00CF6CD7">
        <w:t>.</w:t>
      </w:r>
    </w:p>
    <w:p w14:paraId="3C13C500" w14:textId="3F45DA81" w:rsidR="00A1226D" w:rsidRDefault="00A1226D" w:rsidP="00DF522C">
      <w:pPr>
        <w:pStyle w:val="ListParagraph"/>
        <w:spacing w:after="160" w:line="259" w:lineRule="auto"/>
        <w:contextualSpacing/>
      </w:pPr>
    </w:p>
    <w:p w14:paraId="5AAFFB53" w14:textId="2BEDA9DB" w:rsidR="00F5284E" w:rsidRDefault="004D5849" w:rsidP="00121BDB">
      <w:pPr>
        <w:pStyle w:val="Heading2"/>
      </w:pPr>
      <w:r>
        <w:t>Mode 2</w:t>
      </w:r>
    </w:p>
    <w:p w14:paraId="385FAC5E" w14:textId="258926C2" w:rsidR="00AF6B09" w:rsidRDefault="00E87576" w:rsidP="009A14B9">
      <w:r>
        <w:t xml:space="preserve">In operation of mode 2, </w:t>
      </w:r>
      <w:r w:rsidR="002F5527">
        <w:t>UL full power feature is achieved by means of multiple SRS resource</w:t>
      </w:r>
      <w:r w:rsidR="00764CDC">
        <w:t>s</w:t>
      </w:r>
      <w:r w:rsidR="002F5527">
        <w:t xml:space="preserve"> with different </w:t>
      </w:r>
      <w:r w:rsidR="002F5527" w:rsidRPr="009A14B9">
        <w:rPr>
          <w:i/>
        </w:rPr>
        <w:t>nrofSRS-Ports</w:t>
      </w:r>
      <w:r w:rsidR="002F5527">
        <w:t xml:space="preserve">. </w:t>
      </w:r>
      <w:r w:rsidR="00EB3EFB">
        <w:t xml:space="preserve">In particular, </w:t>
      </w:r>
      <w:r w:rsidR="00793D0B">
        <w:t>UE</w:t>
      </w:r>
      <w:r w:rsidR="007F5795">
        <w:t xml:space="preserve"> </w:t>
      </w:r>
      <w:r w:rsidR="00793D0B">
        <w:t xml:space="preserve">is </w:t>
      </w:r>
      <w:r w:rsidR="007F5795">
        <w:t>configure</w:t>
      </w:r>
      <w:r w:rsidR="00793D0B">
        <w:t>d</w:t>
      </w:r>
      <w:r w:rsidR="007F5795">
        <w:t xml:space="preserve"> multiple SRS resourc</w:t>
      </w:r>
      <w:r w:rsidR="00831AE1">
        <w:t>e</w:t>
      </w:r>
      <w:r w:rsidR="00C41B95">
        <w:t>s</w:t>
      </w:r>
      <w:r w:rsidR="00831AE1">
        <w:t xml:space="preserve">, one of them has fewer antenna ports that </w:t>
      </w:r>
      <w:r w:rsidR="00B07B0E">
        <w:t xml:space="preserve">are </w:t>
      </w:r>
      <w:r w:rsidR="001C61AF">
        <w:t>virtualized</w:t>
      </w:r>
      <w:r w:rsidR="00B07B0E">
        <w:t xml:space="preserve"> </w:t>
      </w:r>
      <w:r w:rsidR="00F47C68">
        <w:t>from</w:t>
      </w:r>
      <w:r w:rsidR="00B07B0E">
        <w:t xml:space="preserve"> </w:t>
      </w:r>
      <w:r w:rsidR="00D65B44">
        <w:t>full antenna</w:t>
      </w:r>
      <w:r w:rsidR="008E222B">
        <w:t>s</w:t>
      </w:r>
      <w:r w:rsidR="00D65B44">
        <w:t xml:space="preserve"> set. The </w:t>
      </w:r>
      <w:r w:rsidR="00E3190F">
        <w:t xml:space="preserve">virtualized antenna ports can </w:t>
      </w:r>
      <w:r w:rsidR="007A767A">
        <w:t>support higher power than each individual PA, therefore fulfil</w:t>
      </w:r>
      <w:r w:rsidR="00705CE1">
        <w:t>l</w:t>
      </w:r>
      <w:r w:rsidR="007A767A">
        <w:t xml:space="preserve"> full power transmission.</w:t>
      </w:r>
      <w:r w:rsidR="0092581F">
        <w:t xml:space="preserve"> As in mode 1, </w:t>
      </w:r>
      <w:r w:rsidR="00085136">
        <w:t>s</w:t>
      </w:r>
      <w:r w:rsidR="00AF6B09">
        <w:t xml:space="preserve">mall delay CDD </w:t>
      </w:r>
      <w:r w:rsidR="00085136">
        <w:t xml:space="preserve">could </w:t>
      </w:r>
      <w:r w:rsidR="00AF6B09">
        <w:t>be implemented by UE in virtualized SRS resource</w:t>
      </w:r>
      <w:r w:rsidR="00730300">
        <w:t xml:space="preserve">, which </w:t>
      </w:r>
      <w:r w:rsidR="00AF6B09">
        <w:t>could be transparent to receiver.</w:t>
      </w:r>
    </w:p>
    <w:p w14:paraId="611D32EB" w14:textId="5E290E4F" w:rsidR="00A15D3B" w:rsidRDefault="00A15D3B" w:rsidP="009A14B9">
      <w:r>
        <w:t xml:space="preserve">There are several issues need to be taken care to make mode 2 work: </w:t>
      </w:r>
    </w:p>
    <w:p w14:paraId="2323ED8B" w14:textId="1E3A63AA" w:rsidR="00BC6A5D" w:rsidRDefault="00630668" w:rsidP="009A14B9">
      <w:pPr>
        <w:pStyle w:val="ListParagraph"/>
        <w:numPr>
          <w:ilvl w:val="0"/>
          <w:numId w:val="29"/>
        </w:numPr>
      </w:pPr>
      <w:r w:rsidRPr="009A14B9">
        <w:rPr>
          <w:b/>
        </w:rPr>
        <w:t xml:space="preserve">Number of </w:t>
      </w:r>
      <w:r w:rsidR="00450D9C" w:rsidRPr="009A14B9">
        <w:rPr>
          <w:b/>
        </w:rPr>
        <w:t>SRS resources</w:t>
      </w:r>
      <w:r>
        <w:rPr>
          <w:b/>
        </w:rPr>
        <w:t>,</w:t>
      </w:r>
      <w:r w:rsidR="00450D9C" w:rsidRPr="009A14B9">
        <w:rPr>
          <w:b/>
        </w:rPr>
        <w:t xml:space="preserve"> common parameters</w:t>
      </w:r>
      <w:r w:rsidR="009E14F6" w:rsidRPr="00822A98">
        <w:rPr>
          <w:b/>
        </w:rPr>
        <w:t xml:space="preserve"> </w:t>
      </w:r>
      <w:r w:rsidRPr="00D3108D">
        <w:rPr>
          <w:b/>
        </w:rPr>
        <w:t>shar</w:t>
      </w:r>
      <w:r>
        <w:rPr>
          <w:b/>
        </w:rPr>
        <w:t>ing</w:t>
      </w:r>
      <w:r w:rsidRPr="00822A98">
        <w:rPr>
          <w:b/>
        </w:rPr>
        <w:t xml:space="preserve"> </w:t>
      </w:r>
      <w:r w:rsidR="009E14F6" w:rsidRPr="00822A98">
        <w:rPr>
          <w:b/>
        </w:rPr>
        <w:t>and update</w:t>
      </w:r>
      <w:r>
        <w:t>.</w:t>
      </w:r>
      <w:r w:rsidR="00450D9C">
        <w:br/>
      </w:r>
      <w:r w:rsidR="004742D7">
        <w:t xml:space="preserve">If additional SRS resources are added for full Tx power purpose, most of the parameters (other than </w:t>
      </w:r>
      <w:r w:rsidR="004742D7" w:rsidRPr="00822A98">
        <w:rPr>
          <w:i/>
        </w:rPr>
        <w:t>nrofSRS-Ports</w:t>
      </w:r>
      <w:r w:rsidR="004742D7">
        <w:t xml:space="preserve">) should be shared between the SRS resources. Furthermore, </w:t>
      </w:r>
      <w:r w:rsidR="00AC7981">
        <w:t xml:space="preserve">in </w:t>
      </w:r>
      <w:r w:rsidR="00C15087">
        <w:t>Rel-15 codebook based transmission, t</w:t>
      </w:r>
      <w:r w:rsidR="004C151E">
        <w:t>wo SRS resources w</w:t>
      </w:r>
      <w:r w:rsidR="00C15087">
        <w:t>ere</w:t>
      </w:r>
      <w:r w:rsidR="004C151E">
        <w:t xml:space="preserve"> </w:t>
      </w:r>
      <w:r w:rsidR="00FF386B">
        <w:t xml:space="preserve">already </w:t>
      </w:r>
      <w:r w:rsidR="004C151E">
        <w:t xml:space="preserve">used for selecting between analog beams (via </w:t>
      </w:r>
      <w:r w:rsidR="004C151E" w:rsidRPr="009A14B9">
        <w:rPr>
          <w:i/>
        </w:rPr>
        <w:t>spatialRelationInfo</w:t>
      </w:r>
      <w:r w:rsidR="004C151E">
        <w:t>)</w:t>
      </w:r>
      <w:r w:rsidR="00AC7981">
        <w:t xml:space="preserve"> and </w:t>
      </w:r>
      <w:r w:rsidR="00D539D2">
        <w:t xml:space="preserve">we note that </w:t>
      </w:r>
      <w:r w:rsidR="00AC7981">
        <w:t>it is expected more dynamic behaviour of SRS resource in Rel-16 (note that</w:t>
      </w:r>
      <w:r w:rsidR="004C151E">
        <w:t xml:space="preserve"> it is agreed</w:t>
      </w:r>
      <w:r w:rsidR="00AC7981">
        <w:t xml:space="preserve"> in RAN1 #96b</w:t>
      </w:r>
      <w:r w:rsidR="004C151E">
        <w:t xml:space="preserve"> to </w:t>
      </w:r>
      <w:r w:rsidR="004C151E" w:rsidRPr="000D3F25">
        <w:t>support MAC CE based spatial relation update for aperiodic SRS per resource level</w:t>
      </w:r>
      <w:r w:rsidR="00AC7981">
        <w:t>)</w:t>
      </w:r>
      <w:r w:rsidR="004C151E">
        <w:t>.</w:t>
      </w:r>
      <w:r w:rsidR="00954835">
        <w:t xml:space="preserve"> </w:t>
      </w:r>
      <w:r w:rsidR="00750EB9">
        <w:t xml:space="preserve">That is said, it requires </w:t>
      </w:r>
      <w:r w:rsidR="00801F6B">
        <w:t xml:space="preserve">maximum </w:t>
      </w:r>
      <w:r w:rsidR="00750EB9">
        <w:t xml:space="preserve">X (X&gt;2) </w:t>
      </w:r>
      <w:r w:rsidR="009E69E3">
        <w:t xml:space="preserve">SRS resources </w:t>
      </w:r>
      <w:r w:rsidR="006155F0">
        <w:t>in</w:t>
      </w:r>
      <w:r w:rsidR="009E69E3">
        <w:t xml:space="preserve"> </w:t>
      </w:r>
      <w:r w:rsidR="009E69E3" w:rsidRPr="009E69E3">
        <w:t>codebook based transmission</w:t>
      </w:r>
      <w:r w:rsidR="009E69E3">
        <w:t xml:space="preserve"> </w:t>
      </w:r>
      <w:r w:rsidR="00384F6C">
        <w:t xml:space="preserve">to </w:t>
      </w:r>
      <w:r w:rsidR="00705CE1">
        <w:t>fulfill analog beams switching and full power transmission.</w:t>
      </w:r>
      <w:r w:rsidR="00F50204">
        <w:t xml:space="preserve"> In that </w:t>
      </w:r>
      <w:bookmarkStart w:id="5" w:name="OLE_LINK11"/>
      <w:r w:rsidR="00F50204">
        <w:t>regard</w:t>
      </w:r>
      <w:bookmarkEnd w:id="5"/>
      <w:r w:rsidR="00F50204">
        <w:t>, considering structured SRS resource can help to reduce overhead.</w:t>
      </w:r>
      <w:r w:rsidR="008B363F">
        <w:t xml:space="preserve"> </w:t>
      </w:r>
    </w:p>
    <w:p w14:paraId="1A2EDD14" w14:textId="39FA12B6" w:rsidR="00BB21D7" w:rsidRDefault="00FF386B" w:rsidP="009A14B9">
      <w:pPr>
        <w:jc w:val="both"/>
      </w:pPr>
      <w:r w:rsidRPr="009A14B9">
        <w:rPr>
          <w:b/>
          <w:i/>
        </w:rPr>
        <w:t xml:space="preserve">Observation 1: </w:t>
      </w:r>
      <w:r w:rsidR="00805B83">
        <w:rPr>
          <w:b/>
          <w:i/>
        </w:rPr>
        <w:t xml:space="preserve">In mode 2, </w:t>
      </w:r>
      <w:bookmarkStart w:id="6" w:name="OLE_LINK12"/>
      <w:bookmarkStart w:id="7" w:name="OLE_LINK14"/>
      <w:r w:rsidR="00A152E6">
        <w:rPr>
          <w:b/>
          <w:i/>
        </w:rPr>
        <w:t xml:space="preserve">max </w:t>
      </w:r>
      <w:bookmarkEnd w:id="6"/>
      <w:bookmarkEnd w:id="7"/>
      <w:r w:rsidR="00822A98" w:rsidRPr="009A14B9">
        <w:rPr>
          <w:b/>
          <w:i/>
        </w:rPr>
        <w:t xml:space="preserve">X (X&gt;2) SRS resources are required </w:t>
      </w:r>
      <w:r w:rsidR="00805B83">
        <w:rPr>
          <w:b/>
          <w:i/>
        </w:rPr>
        <w:t xml:space="preserve">for </w:t>
      </w:r>
      <w:r w:rsidR="00805B83" w:rsidRPr="00D3108D">
        <w:rPr>
          <w:b/>
          <w:i/>
        </w:rPr>
        <w:t>codebook based transmission</w:t>
      </w:r>
      <w:r w:rsidR="00805B83">
        <w:rPr>
          <w:b/>
          <w:i/>
        </w:rPr>
        <w:t>.</w:t>
      </w:r>
      <w:r w:rsidR="00822A98" w:rsidRPr="009A14B9">
        <w:rPr>
          <w:b/>
          <w:i/>
        </w:rPr>
        <w:t xml:space="preserve"> </w:t>
      </w:r>
      <w:r w:rsidR="00805B83">
        <w:rPr>
          <w:b/>
          <w:i/>
        </w:rPr>
        <w:t>S</w:t>
      </w:r>
      <w:r w:rsidR="00822A98" w:rsidRPr="009A14B9">
        <w:rPr>
          <w:b/>
          <w:i/>
        </w:rPr>
        <w:t xml:space="preserve">tructured SRS resource IE </w:t>
      </w:r>
      <w:r w:rsidR="00805B83">
        <w:rPr>
          <w:b/>
          <w:i/>
        </w:rPr>
        <w:t>can help</w:t>
      </w:r>
      <w:r w:rsidR="00822A98" w:rsidRPr="009A14B9">
        <w:rPr>
          <w:b/>
          <w:i/>
        </w:rPr>
        <w:t xml:space="preserve"> to reduce overhead.</w:t>
      </w:r>
    </w:p>
    <w:p w14:paraId="57FB95BC" w14:textId="2A506B55" w:rsidR="00422576" w:rsidRDefault="00F73568" w:rsidP="009A14B9">
      <w:pPr>
        <w:pStyle w:val="ListParagraph"/>
        <w:numPr>
          <w:ilvl w:val="0"/>
          <w:numId w:val="29"/>
        </w:numPr>
      </w:pPr>
      <w:r w:rsidRPr="009A14B9">
        <w:rPr>
          <w:b/>
        </w:rPr>
        <w:t>Requirement of virtualized SRS sounding</w:t>
      </w:r>
      <w:r>
        <w:br/>
      </w:r>
      <w:r w:rsidR="009D76E2">
        <w:t xml:space="preserve">If the </w:t>
      </w:r>
      <w:r w:rsidR="00327BD6">
        <w:t xml:space="preserve">virtualized SRS has </w:t>
      </w:r>
      <w:r w:rsidR="00327BD6" w:rsidRPr="009A14B9">
        <w:rPr>
          <w:i/>
        </w:rPr>
        <w:t>nrofSRS-Ports</w:t>
      </w:r>
      <w:r w:rsidR="00327BD6">
        <w:t>=1</w:t>
      </w:r>
      <w:r w:rsidR="00EE038B">
        <w:t>, according to mode 2 it should have same behaviour as single antenna case and therefore no precoding.</w:t>
      </w:r>
      <w:r w:rsidR="00A906FB">
        <w:t xml:space="preserve"> One may thin</w:t>
      </w:r>
      <w:r w:rsidR="00454251">
        <w:t>k</w:t>
      </w:r>
      <w:r w:rsidR="00A906FB">
        <w:t xml:space="preserve"> there is no need to actual SRS sounding.</w:t>
      </w:r>
      <w:r w:rsidR="00327BD6">
        <w:t xml:space="preserve"> </w:t>
      </w:r>
      <w:r w:rsidR="00EE038B">
        <w:t xml:space="preserve">However, </w:t>
      </w:r>
      <w:r w:rsidR="005F7AB0">
        <w:t>According to TS38.214 “</w:t>
      </w:r>
      <w:r w:rsidR="005F7AB0" w:rsidRPr="009A14B9">
        <w:rPr>
          <w:i/>
        </w:rPr>
        <w:t xml:space="preserve">The indicated SRI in slot </w:t>
      </w:r>
      <w:r w:rsidR="005F7AB0" w:rsidRPr="009A14B9">
        <w:rPr>
          <w:i/>
          <w:iCs/>
        </w:rPr>
        <w:t xml:space="preserve">n </w:t>
      </w:r>
      <w:r w:rsidR="005F7AB0" w:rsidRPr="009A14B9">
        <w:rPr>
          <w:i/>
        </w:rPr>
        <w:t xml:space="preserve">is associated with the </w:t>
      </w:r>
      <w:r w:rsidR="005F7AB0" w:rsidRPr="009A14B9">
        <w:rPr>
          <w:i/>
          <w:u w:val="single"/>
        </w:rPr>
        <w:t>most recent transmission of SRS resource</w:t>
      </w:r>
      <w:r w:rsidR="005F7AB0" w:rsidRPr="009A14B9">
        <w:rPr>
          <w:i/>
        </w:rPr>
        <w:t xml:space="preserve"> identified by the SRI, where the SRS resource is prior to the PDCCH carrying the SRI.</w:t>
      </w:r>
      <w:r w:rsidR="005F7AB0" w:rsidRPr="00B34639">
        <w:t>”</w:t>
      </w:r>
      <w:r w:rsidR="005F7AB0">
        <w:t xml:space="preserve"> which means </w:t>
      </w:r>
      <w:r w:rsidR="003069AB">
        <w:t>actual transmission of a</w:t>
      </w:r>
      <w:r w:rsidR="005F7AB0">
        <w:t xml:space="preserve"> SRS resource</w:t>
      </w:r>
      <w:r w:rsidR="00A906FB">
        <w:t xml:space="preserve"> may still be required</w:t>
      </w:r>
      <w:r w:rsidR="00470C04">
        <w:t>,</w:t>
      </w:r>
      <w:r w:rsidR="005F7AB0">
        <w:t xml:space="preserve"> </w:t>
      </w:r>
      <w:r w:rsidR="00A906FB">
        <w:t xml:space="preserve">otherwise </w:t>
      </w:r>
      <w:r w:rsidR="005F7AB0">
        <w:t>the</w:t>
      </w:r>
      <w:r w:rsidR="007D2D25">
        <w:t xml:space="preserve"> UE</w:t>
      </w:r>
      <w:r w:rsidR="005F7AB0">
        <w:t xml:space="preserve"> behaviour</w:t>
      </w:r>
      <w:r w:rsidR="007D2D25">
        <w:t xml:space="preserve"> concerning Tx analog beamforming for PUSCH</w:t>
      </w:r>
      <w:r w:rsidR="005F7AB0">
        <w:t xml:space="preserve"> </w:t>
      </w:r>
      <w:r w:rsidR="003069AB">
        <w:t>un-</w:t>
      </w:r>
      <w:r w:rsidR="005F7AB0">
        <w:t>defined.</w:t>
      </w:r>
      <w:r w:rsidR="00EE038B">
        <w:t xml:space="preserve"> </w:t>
      </w:r>
      <w:r w:rsidR="00A906FB">
        <w:t>Moreover, a</w:t>
      </w:r>
      <w:r w:rsidR="005F7AB0">
        <w:t xml:space="preserve">s </w:t>
      </w:r>
      <w:r w:rsidR="00057219">
        <w:t xml:space="preserve">in </w:t>
      </w:r>
      <w:r w:rsidR="00A906FB">
        <w:t xml:space="preserve">Case 8 in </w:t>
      </w:r>
      <w:r w:rsidR="00A906FB">
        <w:fldChar w:fldCharType="begin"/>
      </w:r>
      <w:r w:rsidR="00A906FB">
        <w:instrText xml:space="preserve"> REF _Ref16684914 \h </w:instrText>
      </w:r>
      <w:r w:rsidR="00A906FB">
        <w:fldChar w:fldCharType="separate"/>
      </w:r>
      <w:r w:rsidR="00A906FB">
        <w:t xml:space="preserve">Table </w:t>
      </w:r>
      <w:r w:rsidR="00A906FB">
        <w:rPr>
          <w:noProof/>
        </w:rPr>
        <w:t>3</w:t>
      </w:r>
      <w:r w:rsidR="00A906FB">
        <w:fldChar w:fldCharType="end"/>
      </w:r>
      <w:r w:rsidR="00A906FB">
        <w:t xml:space="preserve">, </w:t>
      </w:r>
      <w:r w:rsidR="00057219">
        <w:t>d</w:t>
      </w:r>
      <w:r w:rsidR="005F7AB0">
        <w:t xml:space="preserve">etermining TPMI </w:t>
      </w:r>
      <w:r w:rsidR="00A906FB">
        <w:t xml:space="preserve">to align between two coherent groups may still </w:t>
      </w:r>
      <w:r w:rsidR="00090E68">
        <w:t>need a real sounding</w:t>
      </w:r>
      <w:r w:rsidR="005F7AB0">
        <w:t>.</w:t>
      </w:r>
    </w:p>
    <w:p w14:paraId="55C6651C" w14:textId="49ACB3D9" w:rsidR="00936B5B" w:rsidRDefault="00936B5B" w:rsidP="009A14B9">
      <w:pPr>
        <w:jc w:val="both"/>
      </w:pPr>
      <w:r w:rsidRPr="009A14B9">
        <w:rPr>
          <w:b/>
          <w:i/>
        </w:rPr>
        <w:t xml:space="preserve">Observation </w:t>
      </w:r>
      <w:r w:rsidR="00171D1D">
        <w:rPr>
          <w:b/>
          <w:i/>
        </w:rPr>
        <w:t>2</w:t>
      </w:r>
      <w:r w:rsidRPr="009A14B9">
        <w:rPr>
          <w:b/>
          <w:i/>
        </w:rPr>
        <w:t xml:space="preserve">: </w:t>
      </w:r>
      <w:r w:rsidR="006478E1">
        <w:rPr>
          <w:b/>
          <w:i/>
        </w:rPr>
        <w:t>In mode 2, v</w:t>
      </w:r>
      <w:r w:rsidRPr="00936B5B">
        <w:rPr>
          <w:b/>
          <w:i/>
        </w:rPr>
        <w:t>irtualized resources may still need to sound</w:t>
      </w:r>
      <w:r w:rsidRPr="009A14B9">
        <w:rPr>
          <w:b/>
          <w:i/>
        </w:rPr>
        <w:t>.</w:t>
      </w:r>
    </w:p>
    <w:p w14:paraId="0111DADE" w14:textId="02853803" w:rsidR="00215464" w:rsidRDefault="00B91E09" w:rsidP="00120694">
      <w:r>
        <w:lastRenderedPageBreak/>
        <w:t>To deal with aforementioned issue</w:t>
      </w:r>
      <w:r w:rsidR="00CE09BF">
        <w:t>s</w:t>
      </w:r>
      <w:r w:rsidR="00B33B74">
        <w:t>,</w:t>
      </w:r>
      <w:r>
        <w:t xml:space="preserve"> </w:t>
      </w:r>
      <w:r w:rsidR="00BB5303">
        <w:t>one solution is to</w:t>
      </w:r>
      <w:r w:rsidR="00746DCD">
        <w:t xml:space="preserve"> introduce structured SRS resource. To explain the concept, we can first </w:t>
      </w:r>
      <w:r w:rsidR="00AA5AC8">
        <w:t xml:space="preserve">define </w:t>
      </w:r>
      <w:r w:rsidR="00746DCD">
        <w:t>‘primary’ (or ‘master’) SRS resource</w:t>
      </w:r>
      <w:r w:rsidR="00746DCD" w:rsidDel="00746DCD">
        <w:t xml:space="preserve"> </w:t>
      </w:r>
      <w:r w:rsidR="00746DCD">
        <w:t>and</w:t>
      </w:r>
      <w:r w:rsidR="00AA5AC8">
        <w:t xml:space="preserve"> </w:t>
      </w:r>
      <w:r w:rsidR="00636C5C">
        <w:t>‘secondary’ (or ‘slave’) SRS resource</w:t>
      </w:r>
      <w:r w:rsidR="00746DCD">
        <w:t xml:space="preserve"> where the primary SRS works same as the</w:t>
      </w:r>
      <w:r w:rsidR="00636C5C">
        <w:t xml:space="preserve"> original SRS resource</w:t>
      </w:r>
      <w:r w:rsidR="00746DCD">
        <w:t xml:space="preserve"> in Rel-15. A</w:t>
      </w:r>
      <w:r w:rsidR="00495DCC">
        <w:t xml:space="preserve"> secondary SRS resource is linked to </w:t>
      </w:r>
      <w:r w:rsidR="00DF629C">
        <w:t xml:space="preserve">one </w:t>
      </w:r>
      <w:r w:rsidR="00495DCC">
        <w:t xml:space="preserve">primary SRS resource and </w:t>
      </w:r>
      <w:r w:rsidR="00060F82">
        <w:t xml:space="preserve">share most of the common parameters as well as the update (e.g., </w:t>
      </w:r>
      <w:r w:rsidR="00060F82" w:rsidRPr="00D3108D">
        <w:rPr>
          <w:i/>
        </w:rPr>
        <w:t>spatialRelationInfo</w:t>
      </w:r>
      <w:r w:rsidR="00060F82">
        <w:t xml:space="preserve"> from MAC CE)</w:t>
      </w:r>
      <w:r w:rsidR="00A24E33">
        <w:t xml:space="preserve">. </w:t>
      </w:r>
      <w:r w:rsidR="00DF629C">
        <w:t>Secondary SRS resource</w:t>
      </w:r>
      <w:r w:rsidR="00F328EE">
        <w:t>s</w:t>
      </w:r>
      <w:r w:rsidR="00DF629C">
        <w:t xml:space="preserve"> are configured to </w:t>
      </w:r>
      <w:r w:rsidR="0037232D">
        <w:t>capability 2</w:t>
      </w:r>
      <w:r w:rsidR="00CE09BF">
        <w:t xml:space="preserve"> and capability </w:t>
      </w:r>
      <w:r w:rsidR="0037232D">
        <w:t xml:space="preserve">3 </w:t>
      </w:r>
      <w:r w:rsidR="00DF629C">
        <w:t>UEs who support mode 2 operation</w:t>
      </w:r>
      <w:r w:rsidR="0037232D">
        <w:t>.</w:t>
      </w:r>
      <w:r w:rsidR="005038CE">
        <w:t xml:space="preserve"> </w:t>
      </w:r>
      <w:r w:rsidR="00E83E20">
        <w:t xml:space="preserve">In more general case, one </w:t>
      </w:r>
      <w:r w:rsidR="000E28B1">
        <w:t xml:space="preserve">may consider a </w:t>
      </w:r>
      <w:r w:rsidR="00E83E20">
        <w:t xml:space="preserve">primary SRS resource can </w:t>
      </w:r>
      <w:r w:rsidR="004C18B2">
        <w:t xml:space="preserve">potentially </w:t>
      </w:r>
      <w:r w:rsidR="001A5128">
        <w:t xml:space="preserve">linked to </w:t>
      </w:r>
      <w:r w:rsidR="00E83E20">
        <w:t>more than one secondary SRS resource</w:t>
      </w:r>
      <w:r w:rsidR="00632FA5">
        <w:t>s</w:t>
      </w:r>
      <w:r w:rsidR="00E83E20">
        <w:t xml:space="preserve"> </w:t>
      </w:r>
      <w:r w:rsidR="00632FA5">
        <w:t xml:space="preserve">to </w:t>
      </w:r>
      <w:r w:rsidR="004C18B2">
        <w:t>leverag</w:t>
      </w:r>
      <w:r w:rsidR="00632FA5">
        <w:t>e</w:t>
      </w:r>
      <w:r w:rsidR="004C18B2" w:rsidDel="004C18B2">
        <w:t xml:space="preserve"> </w:t>
      </w:r>
      <w:r w:rsidR="00E83E20">
        <w:t>different level</w:t>
      </w:r>
      <w:r w:rsidR="005A7700">
        <w:t>s</w:t>
      </w:r>
      <w:r w:rsidR="00E83E20">
        <w:t xml:space="preserve"> of virtualization. </w:t>
      </w:r>
      <w:r w:rsidR="00746DCD">
        <w:t xml:space="preserve">The real implementation </w:t>
      </w:r>
      <w:r w:rsidR="00EC1328">
        <w:t xml:space="preserve">can </w:t>
      </w:r>
      <w:r w:rsidR="00746DCD">
        <w:t xml:space="preserve">be based on </w:t>
      </w:r>
      <w:r w:rsidR="000654C2">
        <w:t xml:space="preserve">the </w:t>
      </w:r>
      <w:r w:rsidR="00746DCD">
        <w:t>example shown in the bottom of this section</w:t>
      </w:r>
      <w:r w:rsidR="00E31C72">
        <w:t xml:space="preserve"> by a </w:t>
      </w:r>
      <w:r w:rsidR="00E31C72" w:rsidRPr="009A14B9">
        <w:rPr>
          <w:i/>
        </w:rPr>
        <w:t>LinkTag</w:t>
      </w:r>
      <w:r w:rsidR="00746DCD">
        <w:t xml:space="preserve"> </w:t>
      </w:r>
      <w:r w:rsidR="00E31C72">
        <w:t xml:space="preserve">field </w:t>
      </w:r>
      <w:r w:rsidR="00746DCD">
        <w:t xml:space="preserve">and illustrated in </w:t>
      </w:r>
      <w:r w:rsidR="00746DCD">
        <w:fldChar w:fldCharType="begin"/>
      </w:r>
      <w:r w:rsidR="00746DCD">
        <w:instrText xml:space="preserve"> REF _Ref16690921 \h </w:instrText>
      </w:r>
      <w:r w:rsidR="00746DCD">
        <w:fldChar w:fldCharType="separate"/>
      </w:r>
      <w:r w:rsidR="00746DCD">
        <w:t xml:space="preserve">Figure </w:t>
      </w:r>
      <w:r w:rsidR="00746DCD">
        <w:rPr>
          <w:noProof/>
        </w:rPr>
        <w:t>1</w:t>
      </w:r>
      <w:r w:rsidR="00746DCD">
        <w:fldChar w:fldCharType="end"/>
      </w:r>
      <w:r w:rsidR="00746DCD">
        <w:t xml:space="preserve">. </w:t>
      </w:r>
    </w:p>
    <w:p w14:paraId="0AC4C9DC" w14:textId="70539C54" w:rsidR="008874A7" w:rsidRDefault="00C327D2" w:rsidP="00120694">
      <w:r>
        <w:t xml:space="preserve">We can </w:t>
      </w:r>
      <w:r w:rsidR="002010F5">
        <w:t xml:space="preserve">interpret </w:t>
      </w:r>
      <w:r w:rsidR="00215464">
        <w:t xml:space="preserve">SRI in DCI as </w:t>
      </w:r>
      <w:r w:rsidR="002010F5">
        <w:t xml:space="preserve">in </w:t>
      </w:r>
      <w:r w:rsidR="00215464">
        <w:t>Rel-15 for primary SRS resources</w:t>
      </w:r>
      <w:r w:rsidR="00EA7FE2">
        <w:t xml:space="preserve"> and</w:t>
      </w:r>
      <w:r w:rsidR="000527F2">
        <w:t xml:space="preserve"> </w:t>
      </w:r>
      <w:r w:rsidR="00EA7FE2">
        <w:t>a</w:t>
      </w:r>
      <w:r w:rsidR="000527F2">
        <w:t>dditional 1-bit to indicate if it is to use virtualized SRS or non-virtualized SRS.</w:t>
      </w:r>
      <w:r w:rsidR="009F7641">
        <w:t xml:space="preserve"> </w:t>
      </w:r>
      <w:r w:rsidR="009328DA">
        <w:t>In that way, w</w:t>
      </w:r>
      <w:r w:rsidR="00215464">
        <w:t xml:space="preserve">e can </w:t>
      </w:r>
      <w:r w:rsidR="00215464" w:rsidRPr="00215464">
        <w:t xml:space="preserve">clarify in TS38.214 6.1.1.1 </w:t>
      </w:r>
      <w:r w:rsidR="00215464">
        <w:t>“</w:t>
      </w:r>
      <w:r w:rsidR="00215464" w:rsidRPr="009A14B9">
        <w:rPr>
          <w:i/>
          <w:color w:val="000000"/>
        </w:rPr>
        <w:t xml:space="preserve">The indicated SRI in slot </w:t>
      </w:r>
      <w:r w:rsidR="00215464" w:rsidRPr="00215464">
        <w:rPr>
          <w:i/>
          <w:color w:val="000000"/>
        </w:rPr>
        <w:t>n</w:t>
      </w:r>
      <w:r w:rsidR="00215464" w:rsidRPr="009A14B9">
        <w:rPr>
          <w:i/>
          <w:color w:val="000000"/>
        </w:rPr>
        <w:t xml:space="preserve"> is associated with </w:t>
      </w:r>
      <w:r w:rsidR="00215464" w:rsidRPr="009A14B9">
        <w:rPr>
          <w:i/>
          <w:color w:val="000000"/>
          <w:highlight w:val="yellow"/>
        </w:rPr>
        <w:t>the later one between</w:t>
      </w:r>
      <w:r w:rsidR="00215464" w:rsidRPr="009A14B9">
        <w:rPr>
          <w:i/>
          <w:color w:val="000000"/>
        </w:rPr>
        <w:t xml:space="preserve"> the most recent transmission of SRS resource identified by the SRI </w:t>
      </w:r>
      <w:r w:rsidR="00215464" w:rsidRPr="009A14B9">
        <w:rPr>
          <w:i/>
          <w:color w:val="000000"/>
          <w:highlight w:val="yellow"/>
        </w:rPr>
        <w:t>and</w:t>
      </w:r>
      <w:r w:rsidR="00215464" w:rsidRPr="009A14B9">
        <w:rPr>
          <w:i/>
          <w:color w:val="000000"/>
        </w:rPr>
        <w:t xml:space="preserve"> </w:t>
      </w:r>
      <w:r w:rsidR="00215464" w:rsidRPr="009A14B9">
        <w:rPr>
          <w:i/>
          <w:color w:val="000000"/>
          <w:highlight w:val="yellow"/>
        </w:rPr>
        <w:t xml:space="preserve">the most recent transmission of </w:t>
      </w:r>
      <w:r w:rsidR="00215464" w:rsidRPr="009A14B9">
        <w:rPr>
          <w:i/>
          <w:color w:val="FF0000"/>
          <w:highlight w:val="yellow"/>
        </w:rPr>
        <w:t>SRS resource linked to the SRS resource identified by the SRI</w:t>
      </w:r>
      <w:r w:rsidR="00215464" w:rsidRPr="009A14B9">
        <w:rPr>
          <w:i/>
          <w:color w:val="000000"/>
        </w:rPr>
        <w:t>, where the SRS resource is prior to the PDCCH carrying the SRI.</w:t>
      </w:r>
      <w:r w:rsidR="00215464">
        <w:rPr>
          <w:color w:val="000000"/>
        </w:rPr>
        <w:t>”</w:t>
      </w:r>
    </w:p>
    <w:p w14:paraId="65A58818" w14:textId="52A1250C" w:rsidR="000D2A53" w:rsidRDefault="00215464" w:rsidP="008874A7">
      <w:pPr>
        <w:spacing w:after="0"/>
      </w:pPr>
      <w:r>
        <w:t>To summary mode 2, the general procedure can be as described as follows:</w:t>
      </w:r>
    </w:p>
    <w:p w14:paraId="5BF64D34" w14:textId="0B1711CF" w:rsidR="00215464" w:rsidRDefault="00215464" w:rsidP="00215464">
      <w:pPr>
        <w:pStyle w:val="ListParagraph"/>
        <w:numPr>
          <w:ilvl w:val="0"/>
          <w:numId w:val="26"/>
        </w:numPr>
        <w:spacing w:after="0"/>
      </w:pPr>
      <w:r>
        <w:t xml:space="preserve">UE report its capability: </w:t>
      </w:r>
      <w:r w:rsidR="008B2DD4">
        <w:t>n</w:t>
      </w:r>
      <w:r>
        <w:t>umber of Tx, UL coherence capability, full power Tx capability (for Capability 2 or 3) and {mode1, mode2} capability.</w:t>
      </w:r>
    </w:p>
    <w:p w14:paraId="12FCA4ED" w14:textId="77777777" w:rsidR="00215464" w:rsidRDefault="00215464" w:rsidP="00215464">
      <w:pPr>
        <w:pStyle w:val="ListParagraph"/>
        <w:numPr>
          <w:ilvl w:val="0"/>
          <w:numId w:val="26"/>
        </w:numPr>
        <w:spacing w:after="0"/>
      </w:pPr>
      <w:r w:rsidRPr="00645E3C">
        <w:t>SRS-Resource</w:t>
      </w:r>
      <w:r>
        <w:t xml:space="preserve"> configuration in RRC includes one field to link between associated SRS resources, as </w:t>
      </w:r>
      <w:r w:rsidRPr="009A14B9">
        <w:rPr>
          <w:i/>
        </w:rPr>
        <w:t>LinkTag</w:t>
      </w:r>
      <w:r>
        <w:t xml:space="preserve"> shown below.</w:t>
      </w:r>
    </w:p>
    <w:p w14:paraId="014FD432" w14:textId="6710D83D" w:rsidR="00215464" w:rsidRDefault="00215464" w:rsidP="00215464">
      <w:pPr>
        <w:pStyle w:val="ListParagraph"/>
        <w:numPr>
          <w:ilvl w:val="0"/>
          <w:numId w:val="26"/>
        </w:numPr>
        <w:spacing w:after="0"/>
      </w:pPr>
      <w:r>
        <w:t xml:space="preserve">gNB configures up to </w:t>
      </w:r>
      <w:r w:rsidRPr="009A14B9">
        <w:rPr>
          <w:i/>
        </w:rPr>
        <w:t>N</w:t>
      </w:r>
      <w:r>
        <w:t xml:space="preserve"> </w:t>
      </w:r>
      <w:r w:rsidR="00FE7ACA">
        <w:t xml:space="preserve">primary </w:t>
      </w:r>
      <w:r>
        <w:t xml:space="preserve">SRS resources to an UE for maximum </w:t>
      </w:r>
      <w:r w:rsidRPr="009A14B9">
        <w:rPr>
          <w:i/>
        </w:rPr>
        <w:t>N</w:t>
      </w:r>
      <w:r>
        <w:t xml:space="preserve"> spatial filters configured for </w:t>
      </w:r>
      <w:r w:rsidRPr="00FB4D19">
        <w:rPr>
          <w:szCs w:val="16"/>
        </w:rPr>
        <w:t>SRS-</w:t>
      </w:r>
      <w:r w:rsidRPr="009A14B9">
        <w:rPr>
          <w:i/>
          <w:szCs w:val="16"/>
        </w:rPr>
        <w:t>ResourceSet::usage=codebook</w:t>
      </w:r>
      <w:r>
        <w:t xml:space="preserve">. For each </w:t>
      </w:r>
      <w:r w:rsidRPr="009A14B9">
        <w:rPr>
          <w:i/>
        </w:rPr>
        <w:t>n</w:t>
      </w:r>
      <w:r w:rsidRPr="008B2DD4">
        <w:t>=1…</w:t>
      </w:r>
      <w:r w:rsidRPr="009A14B9">
        <w:rPr>
          <w:i/>
        </w:rPr>
        <w:t>N</w:t>
      </w:r>
      <w:r w:rsidR="00FE7ACA">
        <w:t xml:space="preserve"> primary SRS resource</w:t>
      </w:r>
      <w:r>
        <w:t xml:space="preserve">, </w:t>
      </w:r>
      <w:r w:rsidR="00FE7ACA">
        <w:t xml:space="preserve">it can be configured at most </w:t>
      </w:r>
      <w:r w:rsidR="00FE7ACA" w:rsidRPr="009A14B9">
        <w:rPr>
          <w:i/>
        </w:rPr>
        <w:t>M</w:t>
      </w:r>
      <w:r w:rsidR="00FE7ACA">
        <w:t>-1 secondary SRS resources, so up to</w:t>
      </w:r>
      <w:r>
        <w:t xml:space="preserve"> </w:t>
      </w:r>
      <w:r w:rsidRPr="009A14B9">
        <w:rPr>
          <w:i/>
        </w:rPr>
        <w:t>M</w:t>
      </w:r>
      <w:r>
        <w:t xml:space="preserve"> SRS resources </w:t>
      </w:r>
      <w:r w:rsidR="008B2DD4">
        <w:t xml:space="preserve">are </w:t>
      </w:r>
      <w:r>
        <w:t xml:space="preserve">linked together (i.e., with the same </w:t>
      </w:r>
      <w:r w:rsidRPr="009A14B9">
        <w:rPr>
          <w:i/>
        </w:rPr>
        <w:t>LinkTag</w:t>
      </w:r>
      <w:r>
        <w:t xml:space="preserve"> value)</w:t>
      </w:r>
      <w:r w:rsidR="00FE7ACA">
        <w:t xml:space="preserve">. All SRS resources with the same </w:t>
      </w:r>
      <w:r w:rsidR="00FE7ACA" w:rsidRPr="009A14B9">
        <w:rPr>
          <w:i/>
        </w:rPr>
        <w:t>LinkTag</w:t>
      </w:r>
      <w:r w:rsidRPr="00730E6E">
        <w:t xml:space="preserve"> </w:t>
      </w:r>
      <w:r>
        <w:t xml:space="preserve">are configured with different </w:t>
      </w:r>
      <w:r w:rsidRPr="009A14B9">
        <w:rPr>
          <w:i/>
        </w:rPr>
        <w:t>nrofSRS-Ports</w:t>
      </w:r>
      <w:r w:rsidRPr="00730E6E">
        <w:t xml:space="preserve"> </w:t>
      </w:r>
      <w:r>
        <w:t>for different antenna ports virtualization. The relationship between SRS resources is illustrated in</w:t>
      </w:r>
      <w:r w:rsidR="00FE7ACA">
        <w:t xml:space="preserve"> </w:t>
      </w:r>
      <w:r w:rsidR="00FE7ACA">
        <w:fldChar w:fldCharType="begin"/>
      </w:r>
      <w:r w:rsidR="00FE7ACA">
        <w:instrText xml:space="preserve"> REF _Ref16690921 \h </w:instrText>
      </w:r>
      <w:r w:rsidR="00FE7ACA">
        <w:fldChar w:fldCharType="separate"/>
      </w:r>
      <w:r w:rsidR="00FE7ACA">
        <w:t xml:space="preserve">Figure </w:t>
      </w:r>
      <w:r w:rsidR="00FE7ACA">
        <w:rPr>
          <w:noProof/>
        </w:rPr>
        <w:t>1</w:t>
      </w:r>
      <w:r w:rsidR="00FE7ACA">
        <w:fldChar w:fldCharType="end"/>
      </w:r>
      <w:r>
        <w:t xml:space="preserve">. Any dynamic behaviour for the SRS resource update is applied to all SRS resources with the same </w:t>
      </w:r>
      <w:r w:rsidRPr="009A14B9">
        <w:rPr>
          <w:i/>
        </w:rPr>
        <w:t>LinkTag</w:t>
      </w:r>
      <w:r>
        <w:t>.</w:t>
      </w:r>
    </w:p>
    <w:p w14:paraId="6E8C2933" w14:textId="77777777" w:rsidR="00215464" w:rsidRDefault="00215464" w:rsidP="00215464">
      <w:pPr>
        <w:pStyle w:val="ListParagraph"/>
        <w:numPr>
          <w:ilvl w:val="0"/>
          <w:numId w:val="26"/>
        </w:numPr>
        <w:spacing w:after="0"/>
      </w:pPr>
      <w:r>
        <w:t xml:space="preserve">UE transmits SRS resources upon request. </w:t>
      </w:r>
    </w:p>
    <w:p w14:paraId="12157BB9" w14:textId="154B786D" w:rsidR="00215464" w:rsidRDefault="00E02FA8" w:rsidP="00215464">
      <w:pPr>
        <w:pStyle w:val="ListParagraph"/>
        <w:numPr>
          <w:ilvl w:val="0"/>
          <w:numId w:val="26"/>
        </w:numPr>
        <w:spacing w:after="0"/>
      </w:pPr>
      <w:r>
        <w:t xml:space="preserve">In DCI, </w:t>
      </w:r>
      <w:r w:rsidR="00215464">
        <w:t xml:space="preserve">gNB indicates </w:t>
      </w:r>
      <w:r w:rsidR="00DD71D5">
        <w:t xml:space="preserve">one </w:t>
      </w:r>
      <w:r w:rsidR="001F445F">
        <w:t>among</w:t>
      </w:r>
      <w:r w:rsidR="00DD71D5">
        <w:t xml:space="preserve"> </w:t>
      </w:r>
      <w:r w:rsidR="00DD71D5" w:rsidRPr="009A14B9">
        <w:rPr>
          <w:i/>
        </w:rPr>
        <w:t>M*N</w:t>
      </w:r>
      <w:r w:rsidR="00DD71D5">
        <w:t xml:space="preserve"> SRS resources</w:t>
      </w:r>
      <w:r w:rsidR="00DD71D5" w:rsidDel="00DD71D5">
        <w:t xml:space="preserve"> </w:t>
      </w:r>
      <w:r w:rsidR="00215464">
        <w:t>for PUSCH transmission. If transparent S-CDD is applied during virtualization, same S-CDD are applied to both SRS and PUSCH.</w:t>
      </w:r>
    </w:p>
    <w:p w14:paraId="015B6141" w14:textId="3AE811CB" w:rsidR="00500185" w:rsidRDefault="00505E9C" w:rsidP="009A14B9">
      <w:pPr>
        <w:spacing w:after="0"/>
        <w:jc w:val="center"/>
      </w:pPr>
      <w:r w:rsidRPr="00505E9C">
        <w:t xml:space="preserve"> </w:t>
      </w:r>
      <w:r w:rsidR="004B2EB8" w:rsidRPr="004B2EB8">
        <w:t xml:space="preserve"> </w:t>
      </w:r>
      <w:r w:rsidR="004B2EB8">
        <w:object w:dxaOrig="5926" w:dyaOrig="4080" w14:anchorId="138F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204pt" o:ole="">
            <v:imagedata r:id="rId8" o:title=""/>
          </v:shape>
          <o:OLEObject Type="Embed" ProgID="Visio.Drawing.15" ShapeID="_x0000_i1025" DrawAspect="Content" ObjectID="_1627483736" r:id="rId9"/>
        </w:object>
      </w:r>
    </w:p>
    <w:p w14:paraId="7E6E680D" w14:textId="70BBE057" w:rsidR="00500185" w:rsidRDefault="00500185" w:rsidP="009A14B9">
      <w:pPr>
        <w:pStyle w:val="Caption"/>
        <w:jc w:val="center"/>
      </w:pPr>
      <w:bookmarkStart w:id="8" w:name="_Ref16690921"/>
      <w:bookmarkStart w:id="9" w:name="_Ref16690347"/>
      <w:r>
        <w:t xml:space="preserve">Figure </w:t>
      </w:r>
      <w:r>
        <w:fldChar w:fldCharType="begin"/>
      </w:r>
      <w:r>
        <w:instrText xml:space="preserve"> SEQ Figure \* ARABIC </w:instrText>
      </w:r>
      <w:r>
        <w:fldChar w:fldCharType="separate"/>
      </w:r>
      <w:r>
        <w:rPr>
          <w:noProof/>
        </w:rPr>
        <w:t>1</w:t>
      </w:r>
      <w:r>
        <w:fldChar w:fldCharType="end"/>
      </w:r>
      <w:bookmarkEnd w:id="8"/>
      <w:r>
        <w:t>. Illustration of SRS resources relationship</w:t>
      </w:r>
      <w:bookmarkEnd w:id="9"/>
    </w:p>
    <w:p w14:paraId="50D907C0" w14:textId="77777777" w:rsidR="00500185" w:rsidRPr="009A14B9" w:rsidRDefault="00500185">
      <w:pPr>
        <w:spacing w:after="0"/>
        <w:rPr>
          <w:sz w:val="18"/>
        </w:rPr>
      </w:pPr>
    </w:p>
    <w:p w14:paraId="00AB59BC" w14:textId="77777777" w:rsidR="00D01585" w:rsidRPr="009A14B9" w:rsidRDefault="00D01585" w:rsidP="00D01585">
      <w:pPr>
        <w:pStyle w:val="PL"/>
        <w:rPr>
          <w:sz w:val="14"/>
        </w:rPr>
      </w:pPr>
      <w:r w:rsidRPr="009A14B9">
        <w:rPr>
          <w:sz w:val="14"/>
        </w:rPr>
        <w:t xml:space="preserve">SRS-Resource ::=                        </w:t>
      </w:r>
      <w:r w:rsidRPr="009A14B9">
        <w:rPr>
          <w:color w:val="993366"/>
          <w:sz w:val="14"/>
        </w:rPr>
        <w:t>SEQUENCE</w:t>
      </w:r>
      <w:r w:rsidRPr="009A14B9">
        <w:rPr>
          <w:sz w:val="14"/>
        </w:rPr>
        <w:t xml:space="preserve"> {</w:t>
      </w:r>
    </w:p>
    <w:p w14:paraId="489E40FC" w14:textId="77777777" w:rsidR="00D01585" w:rsidRPr="009A14B9" w:rsidRDefault="00D01585" w:rsidP="00D01585">
      <w:pPr>
        <w:pStyle w:val="PL"/>
        <w:rPr>
          <w:sz w:val="14"/>
        </w:rPr>
      </w:pPr>
      <w:r w:rsidRPr="009A14B9">
        <w:rPr>
          <w:sz w:val="14"/>
        </w:rPr>
        <w:t xml:space="preserve">    srs-ResourceId                          SRS-ResourceId,</w:t>
      </w:r>
    </w:p>
    <w:p w14:paraId="7A2FEC85" w14:textId="77777777" w:rsidR="00D01585" w:rsidRPr="009A14B9" w:rsidRDefault="00D01585" w:rsidP="00D01585">
      <w:pPr>
        <w:pStyle w:val="PL"/>
        <w:rPr>
          <w:sz w:val="14"/>
        </w:rPr>
      </w:pPr>
      <w:r w:rsidRPr="009A14B9">
        <w:rPr>
          <w:sz w:val="14"/>
        </w:rPr>
        <w:t xml:space="preserve">    nrofSRS-Ports                           </w:t>
      </w:r>
      <w:r w:rsidRPr="009A14B9">
        <w:rPr>
          <w:color w:val="993366"/>
          <w:sz w:val="14"/>
        </w:rPr>
        <w:t>ENUMERATED</w:t>
      </w:r>
      <w:r w:rsidRPr="009A14B9">
        <w:rPr>
          <w:sz w:val="14"/>
        </w:rPr>
        <w:t xml:space="preserve"> {port1, ports2, ports4},</w:t>
      </w:r>
    </w:p>
    <w:p w14:paraId="1B91A1FB" w14:textId="77777777" w:rsidR="00D01585" w:rsidRPr="009A14B9" w:rsidRDefault="00D01585" w:rsidP="00D01585">
      <w:pPr>
        <w:pStyle w:val="PL"/>
        <w:rPr>
          <w:color w:val="808080"/>
          <w:sz w:val="14"/>
        </w:rPr>
      </w:pPr>
      <w:r w:rsidRPr="009A14B9">
        <w:rPr>
          <w:sz w:val="14"/>
        </w:rPr>
        <w:t xml:space="preserve">    ptrs-PortIndex                          </w:t>
      </w:r>
      <w:r w:rsidRPr="009A14B9">
        <w:rPr>
          <w:color w:val="993366"/>
          <w:sz w:val="14"/>
        </w:rPr>
        <w:t>ENUMERATED</w:t>
      </w:r>
      <w:r w:rsidRPr="009A14B9">
        <w:rPr>
          <w:sz w:val="14"/>
        </w:rPr>
        <w:t xml:space="preserve"> {n0, n1 }                                                </w:t>
      </w:r>
      <w:r w:rsidRPr="009A14B9">
        <w:rPr>
          <w:color w:val="993366"/>
          <w:sz w:val="14"/>
        </w:rPr>
        <w:t>OPTIONAL</w:t>
      </w:r>
      <w:r w:rsidRPr="009A14B9">
        <w:rPr>
          <w:sz w:val="14"/>
        </w:rPr>
        <w:t xml:space="preserve">,   </w:t>
      </w:r>
      <w:r w:rsidRPr="009A14B9">
        <w:rPr>
          <w:color w:val="808080"/>
          <w:sz w:val="14"/>
        </w:rPr>
        <w:t>-- Need R</w:t>
      </w:r>
    </w:p>
    <w:p w14:paraId="3CFFD0CF" w14:textId="77777777" w:rsidR="00D01585" w:rsidRPr="009A14B9" w:rsidRDefault="00D01585" w:rsidP="00D01585">
      <w:pPr>
        <w:pStyle w:val="PL"/>
        <w:rPr>
          <w:sz w:val="14"/>
        </w:rPr>
      </w:pPr>
      <w:r w:rsidRPr="009A14B9">
        <w:rPr>
          <w:sz w:val="14"/>
        </w:rPr>
        <w:t xml:space="preserve">    transmissionComb                        </w:t>
      </w:r>
      <w:r w:rsidRPr="009A14B9">
        <w:rPr>
          <w:color w:val="993366"/>
          <w:sz w:val="14"/>
        </w:rPr>
        <w:t>CHOICE</w:t>
      </w:r>
      <w:r w:rsidRPr="009A14B9">
        <w:rPr>
          <w:sz w:val="14"/>
        </w:rPr>
        <w:t xml:space="preserve"> {</w:t>
      </w:r>
    </w:p>
    <w:p w14:paraId="3CFA58A3" w14:textId="77777777" w:rsidR="00D01585" w:rsidRPr="009A14B9" w:rsidRDefault="00D01585" w:rsidP="00D01585">
      <w:pPr>
        <w:pStyle w:val="PL"/>
        <w:rPr>
          <w:sz w:val="14"/>
        </w:rPr>
      </w:pPr>
      <w:r w:rsidRPr="009A14B9">
        <w:rPr>
          <w:sz w:val="14"/>
        </w:rPr>
        <w:t xml:space="preserve">        n2                                      </w:t>
      </w:r>
      <w:r w:rsidRPr="009A14B9">
        <w:rPr>
          <w:color w:val="993366"/>
          <w:sz w:val="14"/>
        </w:rPr>
        <w:t>SEQUENCE</w:t>
      </w:r>
      <w:r w:rsidRPr="009A14B9">
        <w:rPr>
          <w:sz w:val="14"/>
        </w:rPr>
        <w:t xml:space="preserve"> {</w:t>
      </w:r>
    </w:p>
    <w:p w14:paraId="6B272AF9" w14:textId="77777777" w:rsidR="00D01585" w:rsidRPr="009A14B9" w:rsidRDefault="00D01585" w:rsidP="00D01585">
      <w:pPr>
        <w:pStyle w:val="PL"/>
        <w:rPr>
          <w:sz w:val="14"/>
        </w:rPr>
      </w:pPr>
      <w:r w:rsidRPr="009A14B9">
        <w:rPr>
          <w:sz w:val="14"/>
        </w:rPr>
        <w:t xml:space="preserve">            combOffset-n2                           </w:t>
      </w:r>
      <w:r w:rsidRPr="009A14B9">
        <w:rPr>
          <w:color w:val="993366"/>
          <w:sz w:val="14"/>
        </w:rPr>
        <w:t>INTEGER</w:t>
      </w:r>
      <w:r w:rsidRPr="009A14B9">
        <w:rPr>
          <w:sz w:val="14"/>
        </w:rPr>
        <w:t xml:space="preserve"> (0..1),</w:t>
      </w:r>
    </w:p>
    <w:p w14:paraId="58A8706A" w14:textId="77777777" w:rsidR="00D01585" w:rsidRPr="009A14B9" w:rsidRDefault="00D01585" w:rsidP="00D01585">
      <w:pPr>
        <w:pStyle w:val="PL"/>
        <w:rPr>
          <w:sz w:val="14"/>
        </w:rPr>
      </w:pPr>
      <w:r w:rsidRPr="009A14B9">
        <w:rPr>
          <w:sz w:val="14"/>
        </w:rPr>
        <w:t xml:space="preserve">            cyclicShift-n2                          </w:t>
      </w:r>
      <w:r w:rsidRPr="009A14B9">
        <w:rPr>
          <w:color w:val="993366"/>
          <w:sz w:val="14"/>
        </w:rPr>
        <w:t>INTEGER</w:t>
      </w:r>
      <w:r w:rsidRPr="009A14B9">
        <w:rPr>
          <w:sz w:val="14"/>
        </w:rPr>
        <w:t xml:space="preserve"> (0..7)</w:t>
      </w:r>
    </w:p>
    <w:p w14:paraId="50ED8A51" w14:textId="77777777" w:rsidR="00D01585" w:rsidRPr="009A14B9" w:rsidRDefault="00D01585" w:rsidP="00D01585">
      <w:pPr>
        <w:pStyle w:val="PL"/>
        <w:rPr>
          <w:sz w:val="14"/>
        </w:rPr>
      </w:pPr>
      <w:r w:rsidRPr="009A14B9">
        <w:rPr>
          <w:sz w:val="14"/>
        </w:rPr>
        <w:t xml:space="preserve">        },</w:t>
      </w:r>
    </w:p>
    <w:p w14:paraId="43E03046" w14:textId="77777777" w:rsidR="00D01585" w:rsidRPr="009A14B9" w:rsidRDefault="00D01585" w:rsidP="00D01585">
      <w:pPr>
        <w:pStyle w:val="PL"/>
        <w:rPr>
          <w:sz w:val="14"/>
        </w:rPr>
      </w:pPr>
      <w:r w:rsidRPr="009A14B9">
        <w:rPr>
          <w:sz w:val="14"/>
        </w:rPr>
        <w:t xml:space="preserve">        n4                                      </w:t>
      </w:r>
      <w:r w:rsidRPr="009A14B9">
        <w:rPr>
          <w:color w:val="993366"/>
          <w:sz w:val="14"/>
        </w:rPr>
        <w:t>SEQUENCE</w:t>
      </w:r>
      <w:r w:rsidRPr="009A14B9">
        <w:rPr>
          <w:sz w:val="14"/>
        </w:rPr>
        <w:t xml:space="preserve"> {</w:t>
      </w:r>
    </w:p>
    <w:p w14:paraId="0AA8C806" w14:textId="77777777" w:rsidR="00D01585" w:rsidRPr="009A14B9" w:rsidRDefault="00D01585" w:rsidP="00D01585">
      <w:pPr>
        <w:pStyle w:val="PL"/>
        <w:rPr>
          <w:sz w:val="14"/>
        </w:rPr>
      </w:pPr>
      <w:r w:rsidRPr="009A14B9">
        <w:rPr>
          <w:sz w:val="14"/>
        </w:rPr>
        <w:t xml:space="preserve">            combOffset-n4                           </w:t>
      </w:r>
      <w:r w:rsidRPr="009A14B9">
        <w:rPr>
          <w:color w:val="993366"/>
          <w:sz w:val="14"/>
        </w:rPr>
        <w:t>INTEGER</w:t>
      </w:r>
      <w:r w:rsidRPr="009A14B9">
        <w:rPr>
          <w:sz w:val="14"/>
        </w:rPr>
        <w:t xml:space="preserve"> (0..3),</w:t>
      </w:r>
    </w:p>
    <w:p w14:paraId="080E3273" w14:textId="77777777" w:rsidR="00D01585" w:rsidRPr="009A14B9" w:rsidRDefault="00D01585" w:rsidP="00D01585">
      <w:pPr>
        <w:pStyle w:val="PL"/>
        <w:rPr>
          <w:sz w:val="14"/>
        </w:rPr>
      </w:pPr>
      <w:r w:rsidRPr="009A14B9">
        <w:rPr>
          <w:sz w:val="14"/>
        </w:rPr>
        <w:t xml:space="preserve">            cyclicShift-n4                          </w:t>
      </w:r>
      <w:r w:rsidRPr="009A14B9">
        <w:rPr>
          <w:color w:val="993366"/>
          <w:sz w:val="14"/>
        </w:rPr>
        <w:t>INTEGER</w:t>
      </w:r>
      <w:r w:rsidRPr="009A14B9">
        <w:rPr>
          <w:sz w:val="14"/>
        </w:rPr>
        <w:t xml:space="preserve"> (0..11)</w:t>
      </w:r>
    </w:p>
    <w:p w14:paraId="23B215F5" w14:textId="77777777" w:rsidR="00D01585" w:rsidRPr="009A14B9" w:rsidRDefault="00D01585" w:rsidP="00D01585">
      <w:pPr>
        <w:pStyle w:val="PL"/>
        <w:rPr>
          <w:sz w:val="14"/>
        </w:rPr>
      </w:pPr>
      <w:r w:rsidRPr="009A14B9">
        <w:rPr>
          <w:sz w:val="14"/>
        </w:rPr>
        <w:t xml:space="preserve">        }</w:t>
      </w:r>
    </w:p>
    <w:p w14:paraId="020129FB" w14:textId="77777777" w:rsidR="00D01585" w:rsidRPr="009A14B9" w:rsidRDefault="00D01585" w:rsidP="00D01585">
      <w:pPr>
        <w:pStyle w:val="PL"/>
        <w:rPr>
          <w:sz w:val="14"/>
        </w:rPr>
      </w:pPr>
      <w:r w:rsidRPr="009A14B9">
        <w:rPr>
          <w:sz w:val="14"/>
        </w:rPr>
        <w:t xml:space="preserve">    },</w:t>
      </w:r>
    </w:p>
    <w:p w14:paraId="01B42AB9" w14:textId="77777777" w:rsidR="00D01585" w:rsidRPr="009A14B9" w:rsidRDefault="00D01585" w:rsidP="00D01585">
      <w:pPr>
        <w:pStyle w:val="PL"/>
        <w:rPr>
          <w:sz w:val="14"/>
        </w:rPr>
      </w:pPr>
      <w:r w:rsidRPr="009A14B9">
        <w:rPr>
          <w:sz w:val="14"/>
        </w:rPr>
        <w:t xml:space="preserve">    resourceMapping                         </w:t>
      </w:r>
      <w:r w:rsidRPr="009A14B9">
        <w:rPr>
          <w:color w:val="993366"/>
          <w:sz w:val="14"/>
        </w:rPr>
        <w:t>SEQUENCE</w:t>
      </w:r>
      <w:r w:rsidRPr="009A14B9">
        <w:rPr>
          <w:sz w:val="14"/>
        </w:rPr>
        <w:t xml:space="preserve"> {</w:t>
      </w:r>
    </w:p>
    <w:p w14:paraId="77D7B8F2" w14:textId="77777777" w:rsidR="00D01585" w:rsidRPr="009A14B9" w:rsidRDefault="00D01585" w:rsidP="00D01585">
      <w:pPr>
        <w:pStyle w:val="PL"/>
        <w:rPr>
          <w:sz w:val="14"/>
        </w:rPr>
      </w:pPr>
      <w:r w:rsidRPr="009A14B9">
        <w:rPr>
          <w:sz w:val="14"/>
        </w:rPr>
        <w:t xml:space="preserve">        startPosition                           </w:t>
      </w:r>
      <w:r w:rsidRPr="009A14B9">
        <w:rPr>
          <w:color w:val="993366"/>
          <w:sz w:val="14"/>
        </w:rPr>
        <w:t>INTEGER</w:t>
      </w:r>
      <w:r w:rsidRPr="009A14B9">
        <w:rPr>
          <w:sz w:val="14"/>
        </w:rPr>
        <w:t xml:space="preserve"> (0..5),</w:t>
      </w:r>
    </w:p>
    <w:p w14:paraId="29DF2687" w14:textId="77777777" w:rsidR="00D01585" w:rsidRPr="009A14B9" w:rsidRDefault="00D01585" w:rsidP="00D01585">
      <w:pPr>
        <w:pStyle w:val="PL"/>
        <w:rPr>
          <w:sz w:val="14"/>
        </w:rPr>
      </w:pPr>
      <w:r w:rsidRPr="009A14B9">
        <w:rPr>
          <w:sz w:val="14"/>
        </w:rPr>
        <w:t xml:space="preserve">        nrofSymbols                             </w:t>
      </w:r>
      <w:r w:rsidRPr="009A14B9">
        <w:rPr>
          <w:color w:val="993366"/>
          <w:sz w:val="14"/>
        </w:rPr>
        <w:t>ENUMERATED</w:t>
      </w:r>
      <w:r w:rsidRPr="009A14B9">
        <w:rPr>
          <w:sz w:val="14"/>
        </w:rPr>
        <w:t xml:space="preserve"> {n1, n2, n4},</w:t>
      </w:r>
    </w:p>
    <w:p w14:paraId="70D5DCBC" w14:textId="77777777" w:rsidR="00D01585" w:rsidRPr="009A14B9" w:rsidRDefault="00D01585" w:rsidP="00D01585">
      <w:pPr>
        <w:pStyle w:val="PL"/>
        <w:rPr>
          <w:sz w:val="14"/>
        </w:rPr>
      </w:pPr>
      <w:r w:rsidRPr="009A14B9">
        <w:rPr>
          <w:sz w:val="14"/>
        </w:rPr>
        <w:lastRenderedPageBreak/>
        <w:t xml:space="preserve">        repetitionFactor                        </w:t>
      </w:r>
      <w:r w:rsidRPr="009A14B9">
        <w:rPr>
          <w:color w:val="993366"/>
          <w:sz w:val="14"/>
        </w:rPr>
        <w:t>ENUMERATED</w:t>
      </w:r>
      <w:r w:rsidRPr="009A14B9">
        <w:rPr>
          <w:sz w:val="14"/>
        </w:rPr>
        <w:t xml:space="preserve"> {n1, n2, n4}</w:t>
      </w:r>
    </w:p>
    <w:p w14:paraId="57821461" w14:textId="77777777" w:rsidR="00D01585" w:rsidRPr="009A14B9" w:rsidRDefault="00D01585" w:rsidP="00D01585">
      <w:pPr>
        <w:pStyle w:val="PL"/>
        <w:rPr>
          <w:sz w:val="14"/>
        </w:rPr>
      </w:pPr>
      <w:r w:rsidRPr="009A14B9">
        <w:rPr>
          <w:sz w:val="14"/>
        </w:rPr>
        <w:t xml:space="preserve">    },</w:t>
      </w:r>
    </w:p>
    <w:p w14:paraId="34549F49" w14:textId="77777777" w:rsidR="00D01585" w:rsidRPr="009A14B9" w:rsidRDefault="00D01585" w:rsidP="00D01585">
      <w:pPr>
        <w:pStyle w:val="PL"/>
        <w:rPr>
          <w:sz w:val="14"/>
        </w:rPr>
      </w:pPr>
      <w:r w:rsidRPr="009A14B9">
        <w:rPr>
          <w:sz w:val="14"/>
        </w:rPr>
        <w:t xml:space="preserve">    freqDomainPosition                      </w:t>
      </w:r>
      <w:r w:rsidRPr="009A14B9">
        <w:rPr>
          <w:color w:val="993366"/>
          <w:sz w:val="14"/>
        </w:rPr>
        <w:t>INTEGER</w:t>
      </w:r>
      <w:r w:rsidRPr="009A14B9">
        <w:rPr>
          <w:sz w:val="14"/>
        </w:rPr>
        <w:t xml:space="preserve"> (0..67),</w:t>
      </w:r>
    </w:p>
    <w:p w14:paraId="2D6F8964" w14:textId="77777777" w:rsidR="00D01585" w:rsidRPr="009A14B9" w:rsidRDefault="00D01585" w:rsidP="00D01585">
      <w:pPr>
        <w:pStyle w:val="PL"/>
        <w:rPr>
          <w:sz w:val="14"/>
        </w:rPr>
      </w:pPr>
      <w:r w:rsidRPr="009A14B9">
        <w:rPr>
          <w:sz w:val="14"/>
        </w:rPr>
        <w:t xml:space="preserve">    freqDomainShift                         </w:t>
      </w:r>
      <w:r w:rsidRPr="009A14B9">
        <w:rPr>
          <w:color w:val="993366"/>
          <w:sz w:val="14"/>
        </w:rPr>
        <w:t>INTEGER</w:t>
      </w:r>
      <w:r w:rsidRPr="009A14B9">
        <w:rPr>
          <w:sz w:val="14"/>
        </w:rPr>
        <w:t xml:space="preserve"> (0..268),</w:t>
      </w:r>
    </w:p>
    <w:p w14:paraId="2AF67AF3" w14:textId="77777777" w:rsidR="00D01585" w:rsidRPr="009A14B9" w:rsidRDefault="00D01585" w:rsidP="00D01585">
      <w:pPr>
        <w:pStyle w:val="PL"/>
        <w:rPr>
          <w:sz w:val="14"/>
        </w:rPr>
      </w:pPr>
      <w:r w:rsidRPr="009A14B9">
        <w:rPr>
          <w:sz w:val="14"/>
        </w:rPr>
        <w:t xml:space="preserve">    freqHopping                             </w:t>
      </w:r>
      <w:r w:rsidRPr="009A14B9">
        <w:rPr>
          <w:color w:val="993366"/>
          <w:sz w:val="14"/>
        </w:rPr>
        <w:t>SEQUENCE</w:t>
      </w:r>
      <w:r w:rsidRPr="009A14B9">
        <w:rPr>
          <w:sz w:val="14"/>
        </w:rPr>
        <w:t xml:space="preserve"> {</w:t>
      </w:r>
    </w:p>
    <w:p w14:paraId="4CD789E7" w14:textId="77777777" w:rsidR="00D01585" w:rsidRPr="009A14B9" w:rsidRDefault="00D01585" w:rsidP="00D01585">
      <w:pPr>
        <w:pStyle w:val="PL"/>
        <w:rPr>
          <w:sz w:val="14"/>
        </w:rPr>
      </w:pPr>
      <w:r w:rsidRPr="009A14B9">
        <w:rPr>
          <w:sz w:val="14"/>
        </w:rPr>
        <w:t xml:space="preserve">        c-SRS                                   </w:t>
      </w:r>
      <w:r w:rsidRPr="009A14B9">
        <w:rPr>
          <w:color w:val="993366"/>
          <w:sz w:val="14"/>
        </w:rPr>
        <w:t>INTEGER</w:t>
      </w:r>
      <w:r w:rsidRPr="009A14B9">
        <w:rPr>
          <w:sz w:val="14"/>
        </w:rPr>
        <w:t xml:space="preserve"> (0..63),</w:t>
      </w:r>
    </w:p>
    <w:p w14:paraId="03D243A8" w14:textId="77777777" w:rsidR="00D01585" w:rsidRPr="009A14B9" w:rsidRDefault="00D01585" w:rsidP="00D01585">
      <w:pPr>
        <w:pStyle w:val="PL"/>
        <w:rPr>
          <w:sz w:val="14"/>
        </w:rPr>
      </w:pPr>
      <w:r w:rsidRPr="009A14B9">
        <w:rPr>
          <w:sz w:val="14"/>
        </w:rPr>
        <w:t xml:space="preserve">        b-SRS                                   </w:t>
      </w:r>
      <w:r w:rsidRPr="009A14B9">
        <w:rPr>
          <w:color w:val="993366"/>
          <w:sz w:val="14"/>
        </w:rPr>
        <w:t>INTEGER</w:t>
      </w:r>
      <w:r w:rsidRPr="009A14B9">
        <w:rPr>
          <w:sz w:val="14"/>
        </w:rPr>
        <w:t xml:space="preserve"> (0..3),</w:t>
      </w:r>
    </w:p>
    <w:p w14:paraId="347A2440" w14:textId="77777777" w:rsidR="00D01585" w:rsidRPr="009A14B9" w:rsidRDefault="00D01585" w:rsidP="00D01585">
      <w:pPr>
        <w:pStyle w:val="PL"/>
        <w:rPr>
          <w:sz w:val="14"/>
        </w:rPr>
      </w:pPr>
      <w:r w:rsidRPr="009A14B9">
        <w:rPr>
          <w:sz w:val="14"/>
        </w:rPr>
        <w:t xml:space="preserve">        b-hop                                   </w:t>
      </w:r>
      <w:r w:rsidRPr="009A14B9">
        <w:rPr>
          <w:color w:val="993366"/>
          <w:sz w:val="14"/>
        </w:rPr>
        <w:t>INTEGER</w:t>
      </w:r>
      <w:r w:rsidRPr="009A14B9">
        <w:rPr>
          <w:sz w:val="14"/>
        </w:rPr>
        <w:t xml:space="preserve"> (0..3)</w:t>
      </w:r>
    </w:p>
    <w:p w14:paraId="4CCD8922" w14:textId="77777777" w:rsidR="00D01585" w:rsidRPr="009A14B9" w:rsidRDefault="00D01585" w:rsidP="00D01585">
      <w:pPr>
        <w:pStyle w:val="PL"/>
        <w:rPr>
          <w:sz w:val="14"/>
        </w:rPr>
      </w:pPr>
      <w:r w:rsidRPr="009A14B9">
        <w:rPr>
          <w:sz w:val="14"/>
        </w:rPr>
        <w:t xml:space="preserve">    },</w:t>
      </w:r>
    </w:p>
    <w:p w14:paraId="0412CE0C" w14:textId="77777777" w:rsidR="00D01585" w:rsidRPr="009A14B9" w:rsidRDefault="00D01585" w:rsidP="00D01585">
      <w:pPr>
        <w:pStyle w:val="PL"/>
        <w:rPr>
          <w:sz w:val="14"/>
        </w:rPr>
      </w:pPr>
      <w:r w:rsidRPr="009A14B9">
        <w:rPr>
          <w:sz w:val="14"/>
        </w:rPr>
        <w:t xml:space="preserve">    groupOrSequenceHopping                  </w:t>
      </w:r>
      <w:r w:rsidRPr="009A14B9">
        <w:rPr>
          <w:color w:val="993366"/>
          <w:sz w:val="14"/>
        </w:rPr>
        <w:t>ENUMERATED</w:t>
      </w:r>
      <w:r w:rsidRPr="009A14B9">
        <w:rPr>
          <w:sz w:val="14"/>
        </w:rPr>
        <w:t xml:space="preserve"> { neither, groupHopping, sequenceHopping },</w:t>
      </w:r>
    </w:p>
    <w:p w14:paraId="60775D07" w14:textId="77777777" w:rsidR="00D01585" w:rsidRPr="009A14B9" w:rsidRDefault="00D01585" w:rsidP="00D01585">
      <w:pPr>
        <w:pStyle w:val="PL"/>
        <w:rPr>
          <w:sz w:val="14"/>
        </w:rPr>
      </w:pPr>
      <w:r w:rsidRPr="009A14B9">
        <w:rPr>
          <w:sz w:val="14"/>
        </w:rPr>
        <w:t xml:space="preserve">    resourceType                            </w:t>
      </w:r>
      <w:r w:rsidRPr="009A14B9">
        <w:rPr>
          <w:color w:val="993366"/>
          <w:sz w:val="14"/>
        </w:rPr>
        <w:t>CHOICE</w:t>
      </w:r>
      <w:r w:rsidRPr="009A14B9">
        <w:rPr>
          <w:sz w:val="14"/>
        </w:rPr>
        <w:t xml:space="preserve"> {</w:t>
      </w:r>
    </w:p>
    <w:p w14:paraId="5E38B7FF" w14:textId="77777777" w:rsidR="00D01585" w:rsidRPr="009A14B9" w:rsidRDefault="00D01585" w:rsidP="00D01585">
      <w:pPr>
        <w:pStyle w:val="PL"/>
        <w:rPr>
          <w:sz w:val="14"/>
        </w:rPr>
      </w:pPr>
      <w:r w:rsidRPr="009A14B9">
        <w:rPr>
          <w:sz w:val="14"/>
        </w:rPr>
        <w:t xml:space="preserve">        aperiodic                               </w:t>
      </w:r>
      <w:r w:rsidRPr="009A14B9">
        <w:rPr>
          <w:color w:val="993366"/>
          <w:sz w:val="14"/>
        </w:rPr>
        <w:t>SEQUENCE</w:t>
      </w:r>
      <w:r w:rsidRPr="009A14B9">
        <w:rPr>
          <w:sz w:val="14"/>
        </w:rPr>
        <w:t xml:space="preserve"> {</w:t>
      </w:r>
    </w:p>
    <w:p w14:paraId="40F7A567" w14:textId="77777777" w:rsidR="00D01585" w:rsidRPr="009A14B9" w:rsidRDefault="00D01585" w:rsidP="00D01585">
      <w:pPr>
        <w:pStyle w:val="PL"/>
        <w:rPr>
          <w:sz w:val="14"/>
        </w:rPr>
      </w:pPr>
      <w:r w:rsidRPr="009A14B9">
        <w:rPr>
          <w:sz w:val="14"/>
        </w:rPr>
        <w:t xml:space="preserve">            ...</w:t>
      </w:r>
    </w:p>
    <w:p w14:paraId="77912C3E" w14:textId="77777777" w:rsidR="00D01585" w:rsidRPr="009A14B9" w:rsidRDefault="00D01585" w:rsidP="00D01585">
      <w:pPr>
        <w:pStyle w:val="PL"/>
        <w:rPr>
          <w:sz w:val="14"/>
        </w:rPr>
      </w:pPr>
      <w:r w:rsidRPr="009A14B9">
        <w:rPr>
          <w:sz w:val="14"/>
        </w:rPr>
        <w:t xml:space="preserve">        },</w:t>
      </w:r>
    </w:p>
    <w:p w14:paraId="175B3FD6" w14:textId="77777777" w:rsidR="00D01585" w:rsidRPr="009A14B9" w:rsidRDefault="00D01585" w:rsidP="00D01585">
      <w:pPr>
        <w:pStyle w:val="PL"/>
        <w:rPr>
          <w:sz w:val="14"/>
        </w:rPr>
      </w:pPr>
      <w:r w:rsidRPr="009A14B9">
        <w:rPr>
          <w:sz w:val="14"/>
        </w:rPr>
        <w:t xml:space="preserve">        semi-persistent                         </w:t>
      </w:r>
      <w:r w:rsidRPr="009A14B9">
        <w:rPr>
          <w:color w:val="993366"/>
          <w:sz w:val="14"/>
        </w:rPr>
        <w:t>SEQUENCE</w:t>
      </w:r>
      <w:r w:rsidRPr="009A14B9">
        <w:rPr>
          <w:sz w:val="14"/>
        </w:rPr>
        <w:t xml:space="preserve"> {</w:t>
      </w:r>
    </w:p>
    <w:p w14:paraId="22ACAB38" w14:textId="77777777" w:rsidR="00D01585" w:rsidRPr="009A14B9" w:rsidRDefault="00D01585" w:rsidP="00D01585">
      <w:pPr>
        <w:pStyle w:val="PL"/>
        <w:rPr>
          <w:sz w:val="14"/>
        </w:rPr>
      </w:pPr>
      <w:r w:rsidRPr="009A14B9">
        <w:rPr>
          <w:sz w:val="14"/>
        </w:rPr>
        <w:t xml:space="preserve">            periodicityAndOffset-sp                     SRS-PeriodicityAndOffset,</w:t>
      </w:r>
    </w:p>
    <w:p w14:paraId="553138D7" w14:textId="77777777" w:rsidR="00D01585" w:rsidRPr="009A14B9" w:rsidRDefault="00D01585" w:rsidP="00D01585">
      <w:pPr>
        <w:pStyle w:val="PL"/>
        <w:rPr>
          <w:sz w:val="14"/>
        </w:rPr>
      </w:pPr>
      <w:r w:rsidRPr="009A14B9">
        <w:rPr>
          <w:sz w:val="14"/>
        </w:rPr>
        <w:t xml:space="preserve">            ...</w:t>
      </w:r>
    </w:p>
    <w:p w14:paraId="5C5E8478" w14:textId="77777777" w:rsidR="00D01585" w:rsidRPr="009A14B9" w:rsidRDefault="00D01585" w:rsidP="00D01585">
      <w:pPr>
        <w:pStyle w:val="PL"/>
        <w:rPr>
          <w:sz w:val="14"/>
        </w:rPr>
      </w:pPr>
      <w:r w:rsidRPr="009A14B9">
        <w:rPr>
          <w:sz w:val="14"/>
        </w:rPr>
        <w:t xml:space="preserve">        },</w:t>
      </w:r>
    </w:p>
    <w:p w14:paraId="310CCCCE" w14:textId="77777777" w:rsidR="00D01585" w:rsidRPr="009A14B9" w:rsidRDefault="00D01585" w:rsidP="00D01585">
      <w:pPr>
        <w:pStyle w:val="PL"/>
        <w:rPr>
          <w:sz w:val="14"/>
        </w:rPr>
      </w:pPr>
      <w:r w:rsidRPr="009A14B9">
        <w:rPr>
          <w:sz w:val="14"/>
        </w:rPr>
        <w:t xml:space="preserve">        periodic                                </w:t>
      </w:r>
      <w:r w:rsidRPr="009A14B9">
        <w:rPr>
          <w:color w:val="993366"/>
          <w:sz w:val="14"/>
        </w:rPr>
        <w:t>SEQUENCE</w:t>
      </w:r>
      <w:r w:rsidRPr="009A14B9">
        <w:rPr>
          <w:sz w:val="14"/>
        </w:rPr>
        <w:t xml:space="preserve"> {</w:t>
      </w:r>
    </w:p>
    <w:p w14:paraId="5319D32D" w14:textId="77777777" w:rsidR="00D01585" w:rsidRPr="009A14B9" w:rsidRDefault="00D01585" w:rsidP="00D01585">
      <w:pPr>
        <w:pStyle w:val="PL"/>
        <w:rPr>
          <w:sz w:val="14"/>
        </w:rPr>
      </w:pPr>
      <w:r w:rsidRPr="009A14B9">
        <w:rPr>
          <w:sz w:val="14"/>
        </w:rPr>
        <w:t xml:space="preserve">            periodicityAndOffset-p                      SRS-PeriodicityAndOffset,</w:t>
      </w:r>
    </w:p>
    <w:p w14:paraId="20C7451C" w14:textId="77777777" w:rsidR="00D01585" w:rsidRPr="009A14B9" w:rsidRDefault="00D01585" w:rsidP="00D01585">
      <w:pPr>
        <w:pStyle w:val="PL"/>
        <w:rPr>
          <w:sz w:val="14"/>
        </w:rPr>
      </w:pPr>
      <w:r w:rsidRPr="009A14B9">
        <w:rPr>
          <w:sz w:val="14"/>
        </w:rPr>
        <w:t xml:space="preserve">            ...</w:t>
      </w:r>
    </w:p>
    <w:p w14:paraId="17B2FBE5" w14:textId="77777777" w:rsidR="00D01585" w:rsidRPr="009A14B9" w:rsidRDefault="00D01585" w:rsidP="00D01585">
      <w:pPr>
        <w:pStyle w:val="PL"/>
        <w:rPr>
          <w:sz w:val="14"/>
        </w:rPr>
      </w:pPr>
      <w:r w:rsidRPr="009A14B9">
        <w:rPr>
          <w:sz w:val="14"/>
        </w:rPr>
        <w:t xml:space="preserve">        }</w:t>
      </w:r>
    </w:p>
    <w:p w14:paraId="487646EC" w14:textId="77777777" w:rsidR="00D01585" w:rsidRPr="009A14B9" w:rsidRDefault="00D01585" w:rsidP="00D01585">
      <w:pPr>
        <w:pStyle w:val="PL"/>
        <w:rPr>
          <w:sz w:val="14"/>
        </w:rPr>
      </w:pPr>
      <w:r w:rsidRPr="009A14B9">
        <w:rPr>
          <w:sz w:val="14"/>
        </w:rPr>
        <w:t xml:space="preserve">    },</w:t>
      </w:r>
    </w:p>
    <w:p w14:paraId="7C8BB78E" w14:textId="77777777" w:rsidR="00D01585" w:rsidRPr="009A14B9" w:rsidRDefault="00D01585" w:rsidP="00D01585">
      <w:pPr>
        <w:pStyle w:val="PL"/>
        <w:rPr>
          <w:sz w:val="14"/>
        </w:rPr>
      </w:pPr>
      <w:r w:rsidRPr="009A14B9">
        <w:rPr>
          <w:sz w:val="14"/>
        </w:rPr>
        <w:t xml:space="preserve">    sequenceId                              </w:t>
      </w:r>
      <w:bookmarkStart w:id="10" w:name="OLE_LINK3"/>
      <w:r w:rsidRPr="009A14B9">
        <w:rPr>
          <w:color w:val="993366"/>
          <w:sz w:val="14"/>
        </w:rPr>
        <w:t>INTEGER</w:t>
      </w:r>
      <w:r w:rsidRPr="009A14B9">
        <w:rPr>
          <w:sz w:val="14"/>
        </w:rPr>
        <w:t xml:space="preserve"> (0..1023)</w:t>
      </w:r>
      <w:bookmarkEnd w:id="10"/>
      <w:r w:rsidRPr="009A14B9">
        <w:rPr>
          <w:sz w:val="14"/>
        </w:rPr>
        <w:t>,</w:t>
      </w:r>
    </w:p>
    <w:p w14:paraId="170DAB0A" w14:textId="77777777" w:rsidR="00D01585" w:rsidRPr="009A14B9" w:rsidRDefault="00D01585" w:rsidP="00D01585">
      <w:pPr>
        <w:pStyle w:val="PL"/>
        <w:rPr>
          <w:color w:val="808080"/>
          <w:sz w:val="14"/>
        </w:rPr>
      </w:pPr>
      <w:r w:rsidRPr="009A14B9">
        <w:rPr>
          <w:sz w:val="14"/>
        </w:rPr>
        <w:t xml:space="preserve">    spatialRelationInfo                     SRS-SpatialRelationInfo                                         </w:t>
      </w:r>
      <w:r w:rsidRPr="009A14B9">
        <w:rPr>
          <w:color w:val="993366"/>
          <w:sz w:val="14"/>
        </w:rPr>
        <w:t>OPTIONAL</w:t>
      </w:r>
      <w:r w:rsidRPr="009A14B9">
        <w:rPr>
          <w:sz w:val="14"/>
        </w:rPr>
        <w:t xml:space="preserve">,   </w:t>
      </w:r>
      <w:r w:rsidRPr="009A14B9">
        <w:rPr>
          <w:color w:val="808080"/>
          <w:sz w:val="14"/>
        </w:rPr>
        <w:t>-- Need R</w:t>
      </w:r>
    </w:p>
    <w:p w14:paraId="02675A34" w14:textId="77777777" w:rsidR="00D01585" w:rsidRPr="009A14B9" w:rsidRDefault="00D01585" w:rsidP="00D01585">
      <w:pPr>
        <w:pStyle w:val="PL"/>
        <w:rPr>
          <w:color w:val="808080"/>
          <w:sz w:val="14"/>
        </w:rPr>
      </w:pPr>
    </w:p>
    <w:p w14:paraId="51FC3FE0" w14:textId="4CCFF380" w:rsidR="00D01585" w:rsidRPr="009A14B9" w:rsidRDefault="00D01585" w:rsidP="00D01585">
      <w:pPr>
        <w:pStyle w:val="PL"/>
        <w:rPr>
          <w:color w:val="808080"/>
          <w:sz w:val="14"/>
        </w:rPr>
      </w:pPr>
      <w:r w:rsidRPr="009A14B9">
        <w:rPr>
          <w:color w:val="808080"/>
          <w:sz w:val="14"/>
        </w:rPr>
        <w:tab/>
      </w:r>
      <w:r w:rsidRPr="009A14B9">
        <w:rPr>
          <w:sz w:val="14"/>
          <w:highlight w:val="yellow"/>
        </w:rPr>
        <w:t>LinkTag</w:t>
      </w:r>
      <w:r w:rsidRPr="009A14B9">
        <w:rPr>
          <w:sz w:val="14"/>
        </w:rPr>
        <w:t xml:space="preserve">   </w:t>
      </w:r>
      <w:r w:rsidRPr="009A14B9">
        <w:rPr>
          <w:color w:val="993366"/>
          <w:sz w:val="14"/>
        </w:rPr>
        <w:t>INTEGER</w:t>
      </w:r>
      <w:r w:rsidRPr="009A14B9">
        <w:rPr>
          <w:sz w:val="14"/>
        </w:rPr>
        <w:t xml:space="preserve"> (0..N</w:t>
      </w:r>
      <w:r w:rsidR="007C40EE">
        <w:rPr>
          <w:sz w:val="14"/>
        </w:rPr>
        <w:t>-1</w:t>
      </w:r>
      <w:r w:rsidRPr="009A14B9">
        <w:rPr>
          <w:sz w:val="14"/>
        </w:rPr>
        <w:t>)   % the linked SRS resources have the same LinkTag, so they are on equal footing</w:t>
      </w:r>
      <w:r w:rsidR="00EE4D73">
        <w:rPr>
          <w:sz w:val="14"/>
        </w:rPr>
        <w:t xml:space="preserve">, </w:t>
      </w:r>
      <w:r w:rsidR="00EE4D73" w:rsidRPr="00D3108D">
        <w:rPr>
          <w:sz w:val="14"/>
        </w:rPr>
        <w:t>i.e. no slave or master</w:t>
      </w:r>
      <w:r w:rsidRPr="009A14B9">
        <w:rPr>
          <w:sz w:val="14"/>
        </w:rPr>
        <w:t xml:space="preserve">. Where N can be the maximum number of spatial filters can be configured at the same time for codebook transmission </w:t>
      </w:r>
    </w:p>
    <w:p w14:paraId="552B5D0D" w14:textId="77777777" w:rsidR="00D01585" w:rsidRPr="009A14B9" w:rsidRDefault="00D01585" w:rsidP="00D01585">
      <w:pPr>
        <w:pStyle w:val="PL"/>
        <w:rPr>
          <w:sz w:val="14"/>
        </w:rPr>
      </w:pPr>
      <w:r w:rsidRPr="009A14B9">
        <w:rPr>
          <w:sz w:val="14"/>
        </w:rPr>
        <w:t xml:space="preserve">    ...</w:t>
      </w:r>
    </w:p>
    <w:p w14:paraId="7B9DA30C" w14:textId="77777777" w:rsidR="00D01585" w:rsidRPr="009A14B9" w:rsidRDefault="00D01585" w:rsidP="00D01585">
      <w:pPr>
        <w:pStyle w:val="PL"/>
        <w:rPr>
          <w:sz w:val="14"/>
        </w:rPr>
      </w:pPr>
      <w:r w:rsidRPr="009A14B9">
        <w:rPr>
          <w:sz w:val="14"/>
        </w:rPr>
        <w:t>}</w:t>
      </w:r>
    </w:p>
    <w:p w14:paraId="41EF7AD7" w14:textId="77777777" w:rsidR="00D01585" w:rsidRDefault="00D01585">
      <w:pPr>
        <w:spacing w:after="0"/>
      </w:pPr>
    </w:p>
    <w:p w14:paraId="2EFA9DA1" w14:textId="77777777" w:rsidR="00D01585" w:rsidRDefault="00D01585">
      <w:pPr>
        <w:spacing w:after="0"/>
      </w:pPr>
    </w:p>
    <w:p w14:paraId="08EB9849" w14:textId="63E0D46A" w:rsidR="00217E78" w:rsidRPr="009A14B9" w:rsidRDefault="00217E78" w:rsidP="003252FD">
      <w:pPr>
        <w:spacing w:after="0"/>
        <w:rPr>
          <w:b/>
          <w:i/>
        </w:rPr>
      </w:pPr>
      <w:r w:rsidRPr="009A14B9">
        <w:rPr>
          <w:b/>
          <w:i/>
        </w:rPr>
        <w:t xml:space="preserve">Proposal 3: </w:t>
      </w:r>
      <w:r w:rsidR="00091429">
        <w:rPr>
          <w:b/>
          <w:i/>
        </w:rPr>
        <w:t>In mode 2,</w:t>
      </w:r>
      <w:r w:rsidR="00B04C50">
        <w:rPr>
          <w:b/>
          <w:i/>
        </w:rPr>
        <w:t xml:space="preserve"> c</w:t>
      </w:r>
      <w:r w:rsidR="00805B83" w:rsidRPr="009A14B9">
        <w:rPr>
          <w:b/>
          <w:i/>
        </w:rPr>
        <w:t xml:space="preserve">onsider structured SRS resource to facilitate mode 2 operation </w:t>
      </w:r>
      <w:r w:rsidR="007B3281">
        <w:rPr>
          <w:b/>
          <w:i/>
        </w:rPr>
        <w:t>to minimize</w:t>
      </w:r>
      <w:r w:rsidR="00805B83" w:rsidRPr="009A14B9">
        <w:rPr>
          <w:b/>
          <w:i/>
        </w:rPr>
        <w:t xml:space="preserve"> overhead.</w:t>
      </w:r>
    </w:p>
    <w:bookmarkEnd w:id="0"/>
    <w:bookmarkEnd w:id="1"/>
    <w:p w14:paraId="64D54966" w14:textId="77777777" w:rsidR="002D1FB0" w:rsidRDefault="002D1FB0" w:rsidP="002D1FB0">
      <w:pPr>
        <w:pStyle w:val="Heading1"/>
      </w:pPr>
      <w:r>
        <w:t>Conclusion</w:t>
      </w:r>
    </w:p>
    <w:p w14:paraId="15A9CE46" w14:textId="66205E49" w:rsidR="006478E1" w:rsidRPr="00D3108D" w:rsidRDefault="007E7A48">
      <w:pPr>
        <w:rPr>
          <w:b/>
          <w:i/>
        </w:rPr>
      </w:pPr>
      <w:r w:rsidRPr="00D3108D">
        <w:rPr>
          <w:b/>
          <w:i/>
        </w:rPr>
        <w:t xml:space="preserve">Observation 1: </w:t>
      </w:r>
      <w:r>
        <w:rPr>
          <w:b/>
          <w:i/>
        </w:rPr>
        <w:t xml:space="preserve">In mode 2, </w:t>
      </w:r>
      <w:r w:rsidR="00BD6F6D">
        <w:rPr>
          <w:b/>
          <w:i/>
        </w:rPr>
        <w:t xml:space="preserve">max </w:t>
      </w:r>
      <w:r w:rsidRPr="00D3108D">
        <w:rPr>
          <w:b/>
          <w:i/>
        </w:rPr>
        <w:t xml:space="preserve">X (X&gt;2) SRS resources are required </w:t>
      </w:r>
      <w:r>
        <w:rPr>
          <w:b/>
          <w:i/>
        </w:rPr>
        <w:t xml:space="preserve">for </w:t>
      </w:r>
      <w:r w:rsidRPr="00D3108D">
        <w:rPr>
          <w:b/>
          <w:i/>
        </w:rPr>
        <w:t>codebook based transmission</w:t>
      </w:r>
      <w:r>
        <w:rPr>
          <w:b/>
          <w:i/>
        </w:rPr>
        <w:t>.</w:t>
      </w:r>
      <w:r w:rsidRPr="00D3108D">
        <w:rPr>
          <w:b/>
          <w:i/>
        </w:rPr>
        <w:t xml:space="preserve"> </w:t>
      </w:r>
      <w:r>
        <w:rPr>
          <w:b/>
          <w:i/>
        </w:rPr>
        <w:t>S</w:t>
      </w:r>
      <w:r w:rsidRPr="00D3108D">
        <w:rPr>
          <w:b/>
          <w:i/>
        </w:rPr>
        <w:t xml:space="preserve">tructured SRS resource IE </w:t>
      </w:r>
      <w:r>
        <w:rPr>
          <w:b/>
          <w:i/>
        </w:rPr>
        <w:t>can help</w:t>
      </w:r>
      <w:r w:rsidRPr="00D3108D">
        <w:rPr>
          <w:b/>
          <w:i/>
        </w:rPr>
        <w:t xml:space="preserve"> to reduce overhead.</w:t>
      </w:r>
    </w:p>
    <w:p w14:paraId="1DF325FA" w14:textId="6344AA4D" w:rsidR="006478E1" w:rsidRDefault="006478E1">
      <w:pPr>
        <w:jc w:val="both"/>
      </w:pPr>
      <w:r w:rsidRPr="00D3108D">
        <w:rPr>
          <w:b/>
          <w:i/>
        </w:rPr>
        <w:t xml:space="preserve">Observation </w:t>
      </w:r>
      <w:r w:rsidR="006D0791">
        <w:rPr>
          <w:b/>
          <w:i/>
        </w:rPr>
        <w:t>2</w:t>
      </w:r>
      <w:r w:rsidRPr="00D3108D">
        <w:rPr>
          <w:b/>
          <w:i/>
        </w:rPr>
        <w:t xml:space="preserve">: </w:t>
      </w:r>
      <w:r>
        <w:rPr>
          <w:b/>
          <w:i/>
        </w:rPr>
        <w:t>In mode 2, v</w:t>
      </w:r>
      <w:r w:rsidRPr="00936B5B">
        <w:rPr>
          <w:b/>
          <w:i/>
        </w:rPr>
        <w:t>irtualized resources may still need to sound</w:t>
      </w:r>
      <w:r w:rsidRPr="00D3108D">
        <w:rPr>
          <w:b/>
          <w:i/>
        </w:rPr>
        <w:t>.</w:t>
      </w:r>
    </w:p>
    <w:p w14:paraId="3C7D9458" w14:textId="77777777" w:rsidR="006478E1" w:rsidRDefault="006478E1" w:rsidP="009A14B9">
      <w:pPr>
        <w:spacing w:before="240" w:after="160"/>
        <w:contextualSpacing/>
        <w:rPr>
          <w:b/>
          <w:i/>
        </w:rPr>
      </w:pPr>
    </w:p>
    <w:p w14:paraId="38B0BC46" w14:textId="6CF44F03" w:rsidR="006478E1" w:rsidRDefault="00525766" w:rsidP="009A14B9">
      <w:pPr>
        <w:spacing w:before="240" w:after="160" w:line="360" w:lineRule="auto"/>
        <w:contextualSpacing/>
        <w:rPr>
          <w:b/>
          <w:i/>
        </w:rPr>
      </w:pPr>
      <w:r w:rsidRPr="00D3108D">
        <w:rPr>
          <w:b/>
          <w:i/>
        </w:rPr>
        <w:t>Proposal 1: Confirm the working assumption</w:t>
      </w:r>
      <w:r>
        <w:rPr>
          <w:b/>
          <w:i/>
        </w:rPr>
        <w:t xml:space="preserve"> made in RAN1#97</w:t>
      </w:r>
      <w:r w:rsidRPr="00D3108D">
        <w:rPr>
          <w:b/>
          <w:i/>
        </w:rPr>
        <w:t xml:space="preserve"> for UE capability 2 and 3.</w:t>
      </w:r>
    </w:p>
    <w:p w14:paraId="2CC46CB3" w14:textId="77777777" w:rsidR="00A04396" w:rsidRPr="00D3108D" w:rsidRDefault="00A04396" w:rsidP="00A04396">
      <w:pPr>
        <w:pStyle w:val="text"/>
        <w:rPr>
          <w:b/>
          <w:i/>
        </w:rPr>
      </w:pPr>
      <w:r w:rsidRPr="00D3108D">
        <w:rPr>
          <w:b/>
          <w:i/>
        </w:rPr>
        <w:t xml:space="preserve">Proposal 2: In mode 1, </w:t>
      </w:r>
      <w:r>
        <w:rPr>
          <w:rFonts w:ascii="Times New Roman" w:hAnsi="Times New Roman"/>
          <w:b/>
          <w:i/>
        </w:rPr>
        <w:t xml:space="preserve">to facilitate full Tx power transmission, </w:t>
      </w:r>
      <w:r w:rsidRPr="00D3108D">
        <w:rPr>
          <w:b/>
          <w:i/>
        </w:rPr>
        <w:t xml:space="preserve">arrange antenna port such that </w:t>
      </w:r>
    </w:p>
    <w:p w14:paraId="068AD098" w14:textId="77777777" w:rsidR="00A04396" w:rsidRPr="006D73E4" w:rsidRDefault="00A04396" w:rsidP="00A04396">
      <w:pPr>
        <w:pStyle w:val="text"/>
        <w:numPr>
          <w:ilvl w:val="0"/>
          <w:numId w:val="37"/>
        </w:numPr>
        <w:rPr>
          <w:b/>
          <w:i/>
        </w:rPr>
      </w:pPr>
      <w:r w:rsidRPr="00D3108D">
        <w:rPr>
          <w:rFonts w:ascii="Times New Roman" w:hAnsi="Times New Roman"/>
          <w:b/>
          <w:i/>
        </w:rPr>
        <w:t xml:space="preserve">the PA output power is non-increasing with the port index for non-coherent UE </w:t>
      </w:r>
    </w:p>
    <w:p w14:paraId="1671083A" w14:textId="77777777" w:rsidR="00A04396" w:rsidRPr="00D3108D" w:rsidRDefault="00A04396" w:rsidP="00A04396">
      <w:pPr>
        <w:pStyle w:val="text"/>
        <w:numPr>
          <w:ilvl w:val="0"/>
          <w:numId w:val="37"/>
        </w:numPr>
        <w:rPr>
          <w:b/>
          <w:i/>
        </w:rPr>
      </w:pPr>
      <w:r w:rsidRPr="00D3108D">
        <w:rPr>
          <w:rFonts w:ascii="Times New Roman" w:hAnsi="Times New Roman"/>
          <w:b/>
          <w:i/>
        </w:rPr>
        <w:t xml:space="preserve">the PA output power within a coherence group is non-increasing with the port index for </w:t>
      </w:r>
      <w:r>
        <w:rPr>
          <w:rFonts w:ascii="Times New Roman" w:hAnsi="Times New Roman"/>
          <w:b/>
          <w:i/>
        </w:rPr>
        <w:t>partial-coherent UE and coherent group 0 contains a more capable PA</w:t>
      </w:r>
      <w:r w:rsidRPr="00D3108D">
        <w:rPr>
          <w:rFonts w:ascii="Times New Roman" w:hAnsi="Times New Roman"/>
          <w:b/>
          <w:i/>
        </w:rPr>
        <w:t>.</w:t>
      </w:r>
      <w:r>
        <w:rPr>
          <w:rFonts w:ascii="Times New Roman" w:hAnsi="Times New Roman"/>
          <w:b/>
          <w:i/>
        </w:rPr>
        <w:t xml:space="preserve"> </w:t>
      </w:r>
    </w:p>
    <w:p w14:paraId="06753F05" w14:textId="1D980C46" w:rsidR="00845684" w:rsidRPr="00D3108D" w:rsidRDefault="00A04396" w:rsidP="00845684">
      <w:pPr>
        <w:pStyle w:val="text"/>
        <w:numPr>
          <w:ilvl w:val="0"/>
          <w:numId w:val="37"/>
        </w:numPr>
        <w:rPr>
          <w:rFonts w:ascii="Times New Roman" w:hAnsi="Times New Roman"/>
          <w:b/>
          <w:i/>
        </w:rPr>
      </w:pPr>
      <w:r w:rsidRPr="00D3108D">
        <w:rPr>
          <w:b/>
          <w:i/>
        </w:rPr>
        <w:t>the new codebook subset</w:t>
      </w:r>
      <w:r>
        <w:rPr>
          <w:b/>
          <w:i/>
        </w:rPr>
        <w:t xml:space="preserve"> for full Tx power</w:t>
      </w:r>
      <w:r w:rsidRPr="00D3108D">
        <w:rPr>
          <w:b/>
          <w:i/>
        </w:rPr>
        <w:t xml:space="preserve"> is determined by </w:t>
      </w:r>
      <w:r w:rsidRPr="00854F2D">
        <w:rPr>
          <w:b/>
          <w:i/>
        </w:rPr>
        <w:t>by number of Tx ports, UE PA’s capability (capability 2/ capability 3), UE’s coherence capability, and regardless of UE’s detailed PA configuration</w:t>
      </w:r>
    </w:p>
    <w:p w14:paraId="6F33AE21" w14:textId="77777777" w:rsidR="006478E1" w:rsidRDefault="006478E1" w:rsidP="00EE4D73">
      <w:pPr>
        <w:spacing w:after="160" w:line="360" w:lineRule="auto"/>
        <w:contextualSpacing/>
        <w:rPr>
          <w:b/>
          <w:i/>
        </w:rPr>
      </w:pPr>
    </w:p>
    <w:p w14:paraId="2BC6E07A" w14:textId="77777777" w:rsidR="00AE13B2" w:rsidRPr="009A14B9" w:rsidRDefault="00AE13B2" w:rsidP="00AE13B2">
      <w:pPr>
        <w:spacing w:after="0"/>
        <w:rPr>
          <w:b/>
          <w:i/>
        </w:rPr>
      </w:pPr>
      <w:r w:rsidRPr="009A14B9">
        <w:rPr>
          <w:b/>
          <w:i/>
        </w:rPr>
        <w:t>Proposal 3:</w:t>
      </w:r>
      <w:bookmarkStart w:id="11" w:name="_GoBack"/>
      <w:bookmarkEnd w:id="11"/>
      <w:r w:rsidRPr="009A14B9">
        <w:rPr>
          <w:b/>
          <w:i/>
        </w:rPr>
        <w:t xml:space="preserve"> </w:t>
      </w:r>
      <w:r>
        <w:rPr>
          <w:b/>
          <w:i/>
        </w:rPr>
        <w:t>In mode 2, c</w:t>
      </w:r>
      <w:r w:rsidRPr="009A14B9">
        <w:rPr>
          <w:b/>
          <w:i/>
        </w:rPr>
        <w:t xml:space="preserve">onsider structured SRS resource to facilitate mode 2 operation </w:t>
      </w:r>
      <w:r>
        <w:rPr>
          <w:b/>
          <w:i/>
        </w:rPr>
        <w:t>to minimize</w:t>
      </w:r>
      <w:r w:rsidRPr="009A14B9">
        <w:rPr>
          <w:b/>
          <w:i/>
        </w:rPr>
        <w:t xml:space="preserve"> overhead.</w:t>
      </w:r>
    </w:p>
    <w:p w14:paraId="33A874D0" w14:textId="77777777" w:rsidR="002D1FB0" w:rsidRDefault="002D1FB0" w:rsidP="003252FD">
      <w:pPr>
        <w:spacing w:before="240" w:after="160" w:line="360" w:lineRule="auto"/>
        <w:contextualSpacing/>
        <w:rPr>
          <w:lang w:eastAsia="zh-TW"/>
        </w:rPr>
      </w:pPr>
    </w:p>
    <w:sectPr w:rsidR="002D1FB0" w:rsidSect="00D0151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9E723" w14:textId="77777777" w:rsidR="007A1833" w:rsidRDefault="007A1833" w:rsidP="00EA7ECC">
      <w:pPr>
        <w:spacing w:after="0"/>
      </w:pPr>
      <w:r>
        <w:separator/>
      </w:r>
    </w:p>
  </w:endnote>
  <w:endnote w:type="continuationSeparator" w:id="0">
    <w:p w14:paraId="45885996" w14:textId="77777777" w:rsidR="007A1833" w:rsidRDefault="007A1833"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4B3D0" w14:textId="77777777" w:rsidR="000D2A53" w:rsidRDefault="000D2A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893BA" w14:textId="77777777" w:rsidR="000D2A53" w:rsidRDefault="000D2A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457BC" w14:textId="77777777" w:rsidR="000D2A53" w:rsidRDefault="000D2A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C23DD" w14:textId="77777777" w:rsidR="007A1833" w:rsidRDefault="007A1833" w:rsidP="00EA7ECC">
      <w:pPr>
        <w:spacing w:after="0"/>
      </w:pPr>
      <w:r>
        <w:separator/>
      </w:r>
    </w:p>
  </w:footnote>
  <w:footnote w:type="continuationSeparator" w:id="0">
    <w:p w14:paraId="0C53C362" w14:textId="77777777" w:rsidR="007A1833" w:rsidRDefault="007A1833"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9B644" w14:textId="77777777" w:rsidR="000D2A53" w:rsidRDefault="000D2A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09A33" w14:textId="77777777" w:rsidR="000D2A53" w:rsidRDefault="000D2A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71E20" w14:textId="77777777" w:rsidR="000D2A53" w:rsidRDefault="000D2A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109DD"/>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F690D"/>
    <w:multiLevelType w:val="hybridMultilevel"/>
    <w:tmpl w:val="BED21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87FAF"/>
    <w:multiLevelType w:val="hybridMultilevel"/>
    <w:tmpl w:val="5792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D37"/>
    <w:multiLevelType w:val="hybridMultilevel"/>
    <w:tmpl w:val="323C6DF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5">
      <w:start w:val="1"/>
      <w:numFmt w:val="upp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45A32"/>
    <w:multiLevelType w:val="hybridMultilevel"/>
    <w:tmpl w:val="D05E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E75A8"/>
    <w:multiLevelType w:val="hybridMultilevel"/>
    <w:tmpl w:val="F95E3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E2705"/>
    <w:multiLevelType w:val="hybridMultilevel"/>
    <w:tmpl w:val="58A05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DF1D19"/>
    <w:multiLevelType w:val="hybridMultilevel"/>
    <w:tmpl w:val="F4367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D31D3"/>
    <w:multiLevelType w:val="hybridMultilevel"/>
    <w:tmpl w:val="2C169E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F5DF9"/>
    <w:multiLevelType w:val="hybridMultilevel"/>
    <w:tmpl w:val="B198BA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7590605"/>
    <w:multiLevelType w:val="hybridMultilevel"/>
    <w:tmpl w:val="4526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15CE7"/>
    <w:multiLevelType w:val="hybridMultilevel"/>
    <w:tmpl w:val="CE228998"/>
    <w:lvl w:ilvl="0" w:tplc="2E6AFA66">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3347FB"/>
    <w:multiLevelType w:val="hybridMultilevel"/>
    <w:tmpl w:val="07EA1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B0C62"/>
    <w:multiLevelType w:val="hybridMultilevel"/>
    <w:tmpl w:val="922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DF6B60"/>
    <w:multiLevelType w:val="hybridMultilevel"/>
    <w:tmpl w:val="292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79059CF"/>
    <w:multiLevelType w:val="hybridMultilevel"/>
    <w:tmpl w:val="26285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F713E8"/>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BE09C0"/>
    <w:multiLevelType w:val="hybridMultilevel"/>
    <w:tmpl w:val="964677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1"/>
  </w:num>
  <w:num w:numId="3">
    <w:abstractNumId w:val="28"/>
  </w:num>
  <w:num w:numId="4">
    <w:abstractNumId w:val="15"/>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3"/>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0"/>
  </w:num>
  <w:num w:numId="12">
    <w:abstractNumId w:val="5"/>
  </w:num>
  <w:num w:numId="13">
    <w:abstractNumId w:val="22"/>
  </w:num>
  <w:num w:numId="14">
    <w:abstractNumId w:val="25"/>
  </w:num>
  <w:num w:numId="15">
    <w:abstractNumId w:val="2"/>
  </w:num>
  <w:num w:numId="16">
    <w:abstractNumId w:val="26"/>
  </w:num>
  <w:num w:numId="17">
    <w:abstractNumId w:val="4"/>
  </w:num>
  <w:num w:numId="18">
    <w:abstractNumId w:val="30"/>
  </w:num>
  <w:num w:numId="19">
    <w:abstractNumId w:val="32"/>
  </w:num>
  <w:num w:numId="20">
    <w:abstractNumId w:val="11"/>
  </w:num>
  <w:num w:numId="21">
    <w:abstractNumId w:val="12"/>
  </w:num>
  <w:num w:numId="22">
    <w:abstractNumId w:val="31"/>
  </w:num>
  <w:num w:numId="23">
    <w:abstractNumId w:val="13"/>
  </w:num>
  <w:num w:numId="24">
    <w:abstractNumId w:val="7"/>
  </w:num>
  <w:num w:numId="25">
    <w:abstractNumId w:val="18"/>
  </w:num>
  <w:num w:numId="26">
    <w:abstractNumId w:val="9"/>
  </w:num>
  <w:num w:numId="27">
    <w:abstractNumId w:val="27"/>
  </w:num>
  <w:num w:numId="28">
    <w:abstractNumId w:val="14"/>
  </w:num>
  <w:num w:numId="29">
    <w:abstractNumId w:val="23"/>
  </w:num>
  <w:num w:numId="30">
    <w:abstractNumId w:val="16"/>
  </w:num>
  <w:num w:numId="31">
    <w:abstractNumId w:val="10"/>
  </w:num>
  <w:num w:numId="32">
    <w:abstractNumId w:val="17"/>
  </w:num>
  <w:num w:numId="33">
    <w:abstractNumId w:val="8"/>
  </w:num>
  <w:num w:numId="34">
    <w:abstractNumId w:val="24"/>
  </w:num>
  <w:num w:numId="35">
    <w:abstractNumId w:val="34"/>
  </w:num>
  <w:num w:numId="36">
    <w:abstractNumId w:val="6"/>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202B5"/>
    <w:rsid w:val="00020806"/>
    <w:rsid w:val="000208EE"/>
    <w:rsid w:val="00022AAB"/>
    <w:rsid w:val="0002408F"/>
    <w:rsid w:val="00025AE0"/>
    <w:rsid w:val="0003035C"/>
    <w:rsid w:val="000314FD"/>
    <w:rsid w:val="000319BB"/>
    <w:rsid w:val="00033B39"/>
    <w:rsid w:val="00040826"/>
    <w:rsid w:val="000409CB"/>
    <w:rsid w:val="0004477F"/>
    <w:rsid w:val="000507C9"/>
    <w:rsid w:val="000527F2"/>
    <w:rsid w:val="00055337"/>
    <w:rsid w:val="00056AD5"/>
    <w:rsid w:val="00057219"/>
    <w:rsid w:val="00060057"/>
    <w:rsid w:val="00060F82"/>
    <w:rsid w:val="000630F2"/>
    <w:rsid w:val="000654C2"/>
    <w:rsid w:val="00074BD2"/>
    <w:rsid w:val="000758D8"/>
    <w:rsid w:val="0007624E"/>
    <w:rsid w:val="00076C15"/>
    <w:rsid w:val="000803B3"/>
    <w:rsid w:val="00080B1D"/>
    <w:rsid w:val="00084456"/>
    <w:rsid w:val="00085136"/>
    <w:rsid w:val="00085B6F"/>
    <w:rsid w:val="000860DA"/>
    <w:rsid w:val="00090E16"/>
    <w:rsid w:val="00090E68"/>
    <w:rsid w:val="00091429"/>
    <w:rsid w:val="000915AF"/>
    <w:rsid w:val="0009383C"/>
    <w:rsid w:val="000954E8"/>
    <w:rsid w:val="000A0EAC"/>
    <w:rsid w:val="000A1D36"/>
    <w:rsid w:val="000A2D69"/>
    <w:rsid w:val="000B3AAB"/>
    <w:rsid w:val="000B7ABA"/>
    <w:rsid w:val="000C2A37"/>
    <w:rsid w:val="000C40A3"/>
    <w:rsid w:val="000C51F1"/>
    <w:rsid w:val="000D001F"/>
    <w:rsid w:val="000D2A53"/>
    <w:rsid w:val="000D4AEA"/>
    <w:rsid w:val="000D6851"/>
    <w:rsid w:val="000E25DD"/>
    <w:rsid w:val="000E28B1"/>
    <w:rsid w:val="000E3940"/>
    <w:rsid w:val="000E3BF8"/>
    <w:rsid w:val="000E6540"/>
    <w:rsid w:val="000F251B"/>
    <w:rsid w:val="000F3428"/>
    <w:rsid w:val="000F516C"/>
    <w:rsid w:val="00100CBF"/>
    <w:rsid w:val="001024B0"/>
    <w:rsid w:val="00103D78"/>
    <w:rsid w:val="001040A3"/>
    <w:rsid w:val="00110F00"/>
    <w:rsid w:val="0011614F"/>
    <w:rsid w:val="0011713B"/>
    <w:rsid w:val="001175B5"/>
    <w:rsid w:val="00120694"/>
    <w:rsid w:val="00120882"/>
    <w:rsid w:val="00121BDB"/>
    <w:rsid w:val="001258BD"/>
    <w:rsid w:val="0013055D"/>
    <w:rsid w:val="001306C0"/>
    <w:rsid w:val="00130C6D"/>
    <w:rsid w:val="001369B9"/>
    <w:rsid w:val="00137C87"/>
    <w:rsid w:val="001433AD"/>
    <w:rsid w:val="001455E3"/>
    <w:rsid w:val="0014783B"/>
    <w:rsid w:val="001523EB"/>
    <w:rsid w:val="00152B30"/>
    <w:rsid w:val="00155FDE"/>
    <w:rsid w:val="00160D31"/>
    <w:rsid w:val="001617E7"/>
    <w:rsid w:val="00161869"/>
    <w:rsid w:val="00170977"/>
    <w:rsid w:val="00170E4B"/>
    <w:rsid w:val="001712BE"/>
    <w:rsid w:val="00171D1D"/>
    <w:rsid w:val="001744C5"/>
    <w:rsid w:val="00174A03"/>
    <w:rsid w:val="00174C2F"/>
    <w:rsid w:val="00177909"/>
    <w:rsid w:val="00182F62"/>
    <w:rsid w:val="001916A0"/>
    <w:rsid w:val="001976BB"/>
    <w:rsid w:val="001A3351"/>
    <w:rsid w:val="001A49A8"/>
    <w:rsid w:val="001A4F39"/>
    <w:rsid w:val="001A5128"/>
    <w:rsid w:val="001B00AC"/>
    <w:rsid w:val="001B23A8"/>
    <w:rsid w:val="001B4CCA"/>
    <w:rsid w:val="001B6023"/>
    <w:rsid w:val="001C0A56"/>
    <w:rsid w:val="001C4296"/>
    <w:rsid w:val="001C4A11"/>
    <w:rsid w:val="001C5472"/>
    <w:rsid w:val="001C61AF"/>
    <w:rsid w:val="001C67AC"/>
    <w:rsid w:val="001D0200"/>
    <w:rsid w:val="001D09F3"/>
    <w:rsid w:val="001D1C90"/>
    <w:rsid w:val="001D29C5"/>
    <w:rsid w:val="001D48D8"/>
    <w:rsid w:val="001D62CA"/>
    <w:rsid w:val="001D69B9"/>
    <w:rsid w:val="001E5294"/>
    <w:rsid w:val="001E6F65"/>
    <w:rsid w:val="001F445F"/>
    <w:rsid w:val="001F50C8"/>
    <w:rsid w:val="001F62BC"/>
    <w:rsid w:val="00200BA7"/>
    <w:rsid w:val="002010F5"/>
    <w:rsid w:val="0020497F"/>
    <w:rsid w:val="0021040A"/>
    <w:rsid w:val="00213E79"/>
    <w:rsid w:val="00215464"/>
    <w:rsid w:val="002169AC"/>
    <w:rsid w:val="00216A0D"/>
    <w:rsid w:val="00217E78"/>
    <w:rsid w:val="00231088"/>
    <w:rsid w:val="002326D7"/>
    <w:rsid w:val="002351F0"/>
    <w:rsid w:val="00235FCD"/>
    <w:rsid w:val="00241AE8"/>
    <w:rsid w:val="0024215C"/>
    <w:rsid w:val="0024449A"/>
    <w:rsid w:val="002446C0"/>
    <w:rsid w:val="00247187"/>
    <w:rsid w:val="00250CA2"/>
    <w:rsid w:val="00251B29"/>
    <w:rsid w:val="00254984"/>
    <w:rsid w:val="002613E2"/>
    <w:rsid w:val="00261948"/>
    <w:rsid w:val="002648F1"/>
    <w:rsid w:val="002672E6"/>
    <w:rsid w:val="0026781D"/>
    <w:rsid w:val="00270AC6"/>
    <w:rsid w:val="00271643"/>
    <w:rsid w:val="002732F1"/>
    <w:rsid w:val="002755DA"/>
    <w:rsid w:val="00281E67"/>
    <w:rsid w:val="00285000"/>
    <w:rsid w:val="00286332"/>
    <w:rsid w:val="002A18C5"/>
    <w:rsid w:val="002A5C60"/>
    <w:rsid w:val="002A6801"/>
    <w:rsid w:val="002B6EAE"/>
    <w:rsid w:val="002B723D"/>
    <w:rsid w:val="002C2648"/>
    <w:rsid w:val="002C3E54"/>
    <w:rsid w:val="002C795F"/>
    <w:rsid w:val="002D0406"/>
    <w:rsid w:val="002D1634"/>
    <w:rsid w:val="002D19AE"/>
    <w:rsid w:val="002D1FB0"/>
    <w:rsid w:val="002D23DC"/>
    <w:rsid w:val="002D3614"/>
    <w:rsid w:val="002D3D97"/>
    <w:rsid w:val="002D40FB"/>
    <w:rsid w:val="002D79DA"/>
    <w:rsid w:val="002E006C"/>
    <w:rsid w:val="002E037C"/>
    <w:rsid w:val="002E1C7F"/>
    <w:rsid w:val="002F1E58"/>
    <w:rsid w:val="002F3C7A"/>
    <w:rsid w:val="002F3F7F"/>
    <w:rsid w:val="002F5527"/>
    <w:rsid w:val="00302007"/>
    <w:rsid w:val="00303167"/>
    <w:rsid w:val="00303C0F"/>
    <w:rsid w:val="003069AB"/>
    <w:rsid w:val="00311277"/>
    <w:rsid w:val="0031242D"/>
    <w:rsid w:val="0031276F"/>
    <w:rsid w:val="003236C6"/>
    <w:rsid w:val="0032400D"/>
    <w:rsid w:val="00324503"/>
    <w:rsid w:val="003252FD"/>
    <w:rsid w:val="00326277"/>
    <w:rsid w:val="00327514"/>
    <w:rsid w:val="00327BD6"/>
    <w:rsid w:val="00332B30"/>
    <w:rsid w:val="003335A9"/>
    <w:rsid w:val="003338E2"/>
    <w:rsid w:val="003341EA"/>
    <w:rsid w:val="003357D9"/>
    <w:rsid w:val="0034090B"/>
    <w:rsid w:val="00341994"/>
    <w:rsid w:val="00344EA3"/>
    <w:rsid w:val="00350822"/>
    <w:rsid w:val="0035118F"/>
    <w:rsid w:val="00354B5C"/>
    <w:rsid w:val="00357907"/>
    <w:rsid w:val="00365975"/>
    <w:rsid w:val="00366DE4"/>
    <w:rsid w:val="00366E25"/>
    <w:rsid w:val="00366F55"/>
    <w:rsid w:val="0037014C"/>
    <w:rsid w:val="003704CC"/>
    <w:rsid w:val="00371903"/>
    <w:rsid w:val="00371AC5"/>
    <w:rsid w:val="0037232D"/>
    <w:rsid w:val="003727CD"/>
    <w:rsid w:val="00377823"/>
    <w:rsid w:val="003804F8"/>
    <w:rsid w:val="00381C78"/>
    <w:rsid w:val="00382733"/>
    <w:rsid w:val="00383E7D"/>
    <w:rsid w:val="003847AB"/>
    <w:rsid w:val="00384F6C"/>
    <w:rsid w:val="00391905"/>
    <w:rsid w:val="003926B9"/>
    <w:rsid w:val="00396763"/>
    <w:rsid w:val="00397BB2"/>
    <w:rsid w:val="003A0957"/>
    <w:rsid w:val="003A1BC8"/>
    <w:rsid w:val="003A2632"/>
    <w:rsid w:val="003A698E"/>
    <w:rsid w:val="003B07D5"/>
    <w:rsid w:val="003B19D0"/>
    <w:rsid w:val="003B1E9A"/>
    <w:rsid w:val="003B392B"/>
    <w:rsid w:val="003B3B27"/>
    <w:rsid w:val="003B3C21"/>
    <w:rsid w:val="003B74AA"/>
    <w:rsid w:val="003C6D19"/>
    <w:rsid w:val="003D02EC"/>
    <w:rsid w:val="003D29D6"/>
    <w:rsid w:val="003D6438"/>
    <w:rsid w:val="003D66E9"/>
    <w:rsid w:val="003E0A0A"/>
    <w:rsid w:val="003E2B16"/>
    <w:rsid w:val="003E2EDF"/>
    <w:rsid w:val="003E4FC3"/>
    <w:rsid w:val="003F0444"/>
    <w:rsid w:val="003F1089"/>
    <w:rsid w:val="00401E6C"/>
    <w:rsid w:val="00403B00"/>
    <w:rsid w:val="0040583A"/>
    <w:rsid w:val="0040627A"/>
    <w:rsid w:val="00406F47"/>
    <w:rsid w:val="00407B1E"/>
    <w:rsid w:val="00412F1B"/>
    <w:rsid w:val="00413990"/>
    <w:rsid w:val="004168EC"/>
    <w:rsid w:val="00417DEE"/>
    <w:rsid w:val="00421716"/>
    <w:rsid w:val="0042172C"/>
    <w:rsid w:val="00422507"/>
    <w:rsid w:val="00422576"/>
    <w:rsid w:val="0042710E"/>
    <w:rsid w:val="004303B1"/>
    <w:rsid w:val="004322F7"/>
    <w:rsid w:val="00433671"/>
    <w:rsid w:val="0043492C"/>
    <w:rsid w:val="004349B3"/>
    <w:rsid w:val="00441003"/>
    <w:rsid w:val="00447D96"/>
    <w:rsid w:val="0045069B"/>
    <w:rsid w:val="00450D9C"/>
    <w:rsid w:val="00454251"/>
    <w:rsid w:val="00455268"/>
    <w:rsid w:val="00456AE0"/>
    <w:rsid w:val="00457149"/>
    <w:rsid w:val="00460FC3"/>
    <w:rsid w:val="00462609"/>
    <w:rsid w:val="00464E16"/>
    <w:rsid w:val="00470583"/>
    <w:rsid w:val="00470C04"/>
    <w:rsid w:val="00471D4B"/>
    <w:rsid w:val="00472732"/>
    <w:rsid w:val="0047334A"/>
    <w:rsid w:val="004742D7"/>
    <w:rsid w:val="00475168"/>
    <w:rsid w:val="004752EE"/>
    <w:rsid w:val="0047779A"/>
    <w:rsid w:val="00480A29"/>
    <w:rsid w:val="004834AD"/>
    <w:rsid w:val="0048739B"/>
    <w:rsid w:val="00487C65"/>
    <w:rsid w:val="00490E30"/>
    <w:rsid w:val="00493584"/>
    <w:rsid w:val="00495DCC"/>
    <w:rsid w:val="004A2C6D"/>
    <w:rsid w:val="004A6292"/>
    <w:rsid w:val="004A7397"/>
    <w:rsid w:val="004B2EB8"/>
    <w:rsid w:val="004B5C3F"/>
    <w:rsid w:val="004B5FC6"/>
    <w:rsid w:val="004B7311"/>
    <w:rsid w:val="004C00A1"/>
    <w:rsid w:val="004C0497"/>
    <w:rsid w:val="004C151E"/>
    <w:rsid w:val="004C18B2"/>
    <w:rsid w:val="004C1CF7"/>
    <w:rsid w:val="004C50FF"/>
    <w:rsid w:val="004C7DA7"/>
    <w:rsid w:val="004D1AB6"/>
    <w:rsid w:val="004D2B4B"/>
    <w:rsid w:val="004D3674"/>
    <w:rsid w:val="004D5849"/>
    <w:rsid w:val="004D76FA"/>
    <w:rsid w:val="004E36E4"/>
    <w:rsid w:val="004F230C"/>
    <w:rsid w:val="004F3094"/>
    <w:rsid w:val="004F5209"/>
    <w:rsid w:val="004F70E2"/>
    <w:rsid w:val="00500112"/>
    <w:rsid w:val="00500185"/>
    <w:rsid w:val="00501DFA"/>
    <w:rsid w:val="005038CE"/>
    <w:rsid w:val="00505E9C"/>
    <w:rsid w:val="005108E1"/>
    <w:rsid w:val="005123A2"/>
    <w:rsid w:val="005130BA"/>
    <w:rsid w:val="005135A9"/>
    <w:rsid w:val="005150CF"/>
    <w:rsid w:val="00515130"/>
    <w:rsid w:val="0052157C"/>
    <w:rsid w:val="0052172F"/>
    <w:rsid w:val="00524138"/>
    <w:rsid w:val="005249C3"/>
    <w:rsid w:val="00525766"/>
    <w:rsid w:val="00526779"/>
    <w:rsid w:val="00526A24"/>
    <w:rsid w:val="005301CF"/>
    <w:rsid w:val="005345D5"/>
    <w:rsid w:val="00534FAB"/>
    <w:rsid w:val="005367D4"/>
    <w:rsid w:val="00536C8F"/>
    <w:rsid w:val="005420B3"/>
    <w:rsid w:val="0054287E"/>
    <w:rsid w:val="0054477C"/>
    <w:rsid w:val="005472F2"/>
    <w:rsid w:val="00550805"/>
    <w:rsid w:val="00550BEE"/>
    <w:rsid w:val="00553610"/>
    <w:rsid w:val="00561222"/>
    <w:rsid w:val="0057063D"/>
    <w:rsid w:val="005736F4"/>
    <w:rsid w:val="00575E8D"/>
    <w:rsid w:val="00586349"/>
    <w:rsid w:val="00587341"/>
    <w:rsid w:val="00591091"/>
    <w:rsid w:val="00592B73"/>
    <w:rsid w:val="0059568D"/>
    <w:rsid w:val="005962C0"/>
    <w:rsid w:val="00597B36"/>
    <w:rsid w:val="005A08FD"/>
    <w:rsid w:val="005A19BA"/>
    <w:rsid w:val="005A5837"/>
    <w:rsid w:val="005A6097"/>
    <w:rsid w:val="005A7700"/>
    <w:rsid w:val="005B1272"/>
    <w:rsid w:val="005B6733"/>
    <w:rsid w:val="005C40F9"/>
    <w:rsid w:val="005D304C"/>
    <w:rsid w:val="005D63E7"/>
    <w:rsid w:val="005D71D6"/>
    <w:rsid w:val="005E015B"/>
    <w:rsid w:val="005E1550"/>
    <w:rsid w:val="005E3058"/>
    <w:rsid w:val="005E3966"/>
    <w:rsid w:val="005F140C"/>
    <w:rsid w:val="005F1CF1"/>
    <w:rsid w:val="005F3D5D"/>
    <w:rsid w:val="005F599E"/>
    <w:rsid w:val="005F7AB0"/>
    <w:rsid w:val="0060220D"/>
    <w:rsid w:val="006048B3"/>
    <w:rsid w:val="00605357"/>
    <w:rsid w:val="006062C6"/>
    <w:rsid w:val="006138EC"/>
    <w:rsid w:val="006155F0"/>
    <w:rsid w:val="00615E6C"/>
    <w:rsid w:val="00620023"/>
    <w:rsid w:val="006217E9"/>
    <w:rsid w:val="00624B18"/>
    <w:rsid w:val="006255AF"/>
    <w:rsid w:val="006270E3"/>
    <w:rsid w:val="00630668"/>
    <w:rsid w:val="006308A4"/>
    <w:rsid w:val="00632FA5"/>
    <w:rsid w:val="0063631C"/>
    <w:rsid w:val="006367CD"/>
    <w:rsid w:val="00636C5C"/>
    <w:rsid w:val="00637309"/>
    <w:rsid w:val="006378E5"/>
    <w:rsid w:val="00642D4D"/>
    <w:rsid w:val="00643CCC"/>
    <w:rsid w:val="00644396"/>
    <w:rsid w:val="00644DA5"/>
    <w:rsid w:val="00644F1D"/>
    <w:rsid w:val="006478E1"/>
    <w:rsid w:val="00647EC1"/>
    <w:rsid w:val="006524D2"/>
    <w:rsid w:val="0065429F"/>
    <w:rsid w:val="00656C18"/>
    <w:rsid w:val="006579FD"/>
    <w:rsid w:val="00662203"/>
    <w:rsid w:val="006637B2"/>
    <w:rsid w:val="00667CE4"/>
    <w:rsid w:val="00672D80"/>
    <w:rsid w:val="0067352D"/>
    <w:rsid w:val="00673F1E"/>
    <w:rsid w:val="00673F41"/>
    <w:rsid w:val="00675321"/>
    <w:rsid w:val="00676F87"/>
    <w:rsid w:val="00681D74"/>
    <w:rsid w:val="00682245"/>
    <w:rsid w:val="00685EB9"/>
    <w:rsid w:val="00691B97"/>
    <w:rsid w:val="00694189"/>
    <w:rsid w:val="00697101"/>
    <w:rsid w:val="006A4BC0"/>
    <w:rsid w:val="006B19F5"/>
    <w:rsid w:val="006B305B"/>
    <w:rsid w:val="006B4A4C"/>
    <w:rsid w:val="006B5875"/>
    <w:rsid w:val="006B5D91"/>
    <w:rsid w:val="006B657F"/>
    <w:rsid w:val="006C1F55"/>
    <w:rsid w:val="006C48CF"/>
    <w:rsid w:val="006C4A4A"/>
    <w:rsid w:val="006C66DE"/>
    <w:rsid w:val="006D0791"/>
    <w:rsid w:val="006D11E6"/>
    <w:rsid w:val="006D3BF1"/>
    <w:rsid w:val="006D73E4"/>
    <w:rsid w:val="006E476A"/>
    <w:rsid w:val="006E5053"/>
    <w:rsid w:val="006E646F"/>
    <w:rsid w:val="006F0A95"/>
    <w:rsid w:val="006F5BE3"/>
    <w:rsid w:val="00705CE1"/>
    <w:rsid w:val="0070663F"/>
    <w:rsid w:val="007103EF"/>
    <w:rsid w:val="00713F13"/>
    <w:rsid w:val="00714934"/>
    <w:rsid w:val="00716750"/>
    <w:rsid w:val="007201FC"/>
    <w:rsid w:val="00721492"/>
    <w:rsid w:val="007218F4"/>
    <w:rsid w:val="0072243F"/>
    <w:rsid w:val="007230F2"/>
    <w:rsid w:val="00730300"/>
    <w:rsid w:val="00732225"/>
    <w:rsid w:val="00732A27"/>
    <w:rsid w:val="0073680F"/>
    <w:rsid w:val="0074638B"/>
    <w:rsid w:val="00746D4E"/>
    <w:rsid w:val="00746DCD"/>
    <w:rsid w:val="00750EB9"/>
    <w:rsid w:val="007536D3"/>
    <w:rsid w:val="00754FA0"/>
    <w:rsid w:val="00756A52"/>
    <w:rsid w:val="007608D5"/>
    <w:rsid w:val="0076158B"/>
    <w:rsid w:val="00764CDC"/>
    <w:rsid w:val="0076565C"/>
    <w:rsid w:val="0077032F"/>
    <w:rsid w:val="00771AA1"/>
    <w:rsid w:val="00777A48"/>
    <w:rsid w:val="00781851"/>
    <w:rsid w:val="007824CF"/>
    <w:rsid w:val="007874F6"/>
    <w:rsid w:val="00792190"/>
    <w:rsid w:val="00793D0B"/>
    <w:rsid w:val="00794A49"/>
    <w:rsid w:val="007956AE"/>
    <w:rsid w:val="00795CB7"/>
    <w:rsid w:val="00796598"/>
    <w:rsid w:val="007A0C19"/>
    <w:rsid w:val="007A1833"/>
    <w:rsid w:val="007A2E88"/>
    <w:rsid w:val="007A3F6B"/>
    <w:rsid w:val="007A5648"/>
    <w:rsid w:val="007A767A"/>
    <w:rsid w:val="007B0A35"/>
    <w:rsid w:val="007B2BFC"/>
    <w:rsid w:val="007B3281"/>
    <w:rsid w:val="007B385F"/>
    <w:rsid w:val="007B4102"/>
    <w:rsid w:val="007C1436"/>
    <w:rsid w:val="007C40EE"/>
    <w:rsid w:val="007C4936"/>
    <w:rsid w:val="007C4E65"/>
    <w:rsid w:val="007D0322"/>
    <w:rsid w:val="007D037B"/>
    <w:rsid w:val="007D1A80"/>
    <w:rsid w:val="007D2D25"/>
    <w:rsid w:val="007D36C6"/>
    <w:rsid w:val="007D7BD6"/>
    <w:rsid w:val="007E1A63"/>
    <w:rsid w:val="007E6F12"/>
    <w:rsid w:val="007E7A48"/>
    <w:rsid w:val="007F10DB"/>
    <w:rsid w:val="007F37A2"/>
    <w:rsid w:val="007F5795"/>
    <w:rsid w:val="007F5EA8"/>
    <w:rsid w:val="007F6CC8"/>
    <w:rsid w:val="00801F6B"/>
    <w:rsid w:val="00802588"/>
    <w:rsid w:val="00802625"/>
    <w:rsid w:val="00805B83"/>
    <w:rsid w:val="00806187"/>
    <w:rsid w:val="00806B3B"/>
    <w:rsid w:val="0080712C"/>
    <w:rsid w:val="00812494"/>
    <w:rsid w:val="008173D4"/>
    <w:rsid w:val="00821741"/>
    <w:rsid w:val="00822A98"/>
    <w:rsid w:val="008236A8"/>
    <w:rsid w:val="00824176"/>
    <w:rsid w:val="008249E5"/>
    <w:rsid w:val="00825AAF"/>
    <w:rsid w:val="00831690"/>
    <w:rsid w:val="00831AE1"/>
    <w:rsid w:val="00837905"/>
    <w:rsid w:val="00845684"/>
    <w:rsid w:val="008533A9"/>
    <w:rsid w:val="00853B35"/>
    <w:rsid w:val="00854F2D"/>
    <w:rsid w:val="00860119"/>
    <w:rsid w:val="008679AD"/>
    <w:rsid w:val="00872C9A"/>
    <w:rsid w:val="00873ACF"/>
    <w:rsid w:val="00874A74"/>
    <w:rsid w:val="00877A16"/>
    <w:rsid w:val="00880B94"/>
    <w:rsid w:val="00880E39"/>
    <w:rsid w:val="008816A3"/>
    <w:rsid w:val="008833B2"/>
    <w:rsid w:val="0088551B"/>
    <w:rsid w:val="008874A7"/>
    <w:rsid w:val="00894F03"/>
    <w:rsid w:val="008953C1"/>
    <w:rsid w:val="0089579D"/>
    <w:rsid w:val="008A0820"/>
    <w:rsid w:val="008A2648"/>
    <w:rsid w:val="008A41EE"/>
    <w:rsid w:val="008A55E6"/>
    <w:rsid w:val="008B2DD4"/>
    <w:rsid w:val="008B363F"/>
    <w:rsid w:val="008B387E"/>
    <w:rsid w:val="008C2DAF"/>
    <w:rsid w:val="008C4B30"/>
    <w:rsid w:val="008E0854"/>
    <w:rsid w:val="008E12BA"/>
    <w:rsid w:val="008E1E4D"/>
    <w:rsid w:val="008E222B"/>
    <w:rsid w:val="008F1B2C"/>
    <w:rsid w:val="008F718A"/>
    <w:rsid w:val="00900C34"/>
    <w:rsid w:val="009012B6"/>
    <w:rsid w:val="0090340B"/>
    <w:rsid w:val="009044C9"/>
    <w:rsid w:val="009103F0"/>
    <w:rsid w:val="0091444F"/>
    <w:rsid w:val="009176BE"/>
    <w:rsid w:val="009178EA"/>
    <w:rsid w:val="0092581F"/>
    <w:rsid w:val="009316C0"/>
    <w:rsid w:val="009319A5"/>
    <w:rsid w:val="009328DA"/>
    <w:rsid w:val="00932F72"/>
    <w:rsid w:val="00933139"/>
    <w:rsid w:val="00936B5B"/>
    <w:rsid w:val="00937449"/>
    <w:rsid w:val="009432DE"/>
    <w:rsid w:val="009437F0"/>
    <w:rsid w:val="00943832"/>
    <w:rsid w:val="00944F2B"/>
    <w:rsid w:val="00953E21"/>
    <w:rsid w:val="00954835"/>
    <w:rsid w:val="009560A4"/>
    <w:rsid w:val="00962BB5"/>
    <w:rsid w:val="00965DA0"/>
    <w:rsid w:val="009713A6"/>
    <w:rsid w:val="00972E60"/>
    <w:rsid w:val="00975A8C"/>
    <w:rsid w:val="00975C29"/>
    <w:rsid w:val="00977BC9"/>
    <w:rsid w:val="009822E9"/>
    <w:rsid w:val="00984C86"/>
    <w:rsid w:val="00990168"/>
    <w:rsid w:val="00990E44"/>
    <w:rsid w:val="00991535"/>
    <w:rsid w:val="009934D9"/>
    <w:rsid w:val="00997AB0"/>
    <w:rsid w:val="009A14B9"/>
    <w:rsid w:val="009A2F16"/>
    <w:rsid w:val="009A349E"/>
    <w:rsid w:val="009B1E78"/>
    <w:rsid w:val="009B416C"/>
    <w:rsid w:val="009B5B07"/>
    <w:rsid w:val="009B70CF"/>
    <w:rsid w:val="009C132E"/>
    <w:rsid w:val="009C182F"/>
    <w:rsid w:val="009C6097"/>
    <w:rsid w:val="009D4D7C"/>
    <w:rsid w:val="009D5939"/>
    <w:rsid w:val="009D6E78"/>
    <w:rsid w:val="009D76E2"/>
    <w:rsid w:val="009E14F6"/>
    <w:rsid w:val="009E69E3"/>
    <w:rsid w:val="009F5CC8"/>
    <w:rsid w:val="009F7641"/>
    <w:rsid w:val="00A02C0F"/>
    <w:rsid w:val="00A037A0"/>
    <w:rsid w:val="00A04396"/>
    <w:rsid w:val="00A1226D"/>
    <w:rsid w:val="00A12975"/>
    <w:rsid w:val="00A152E6"/>
    <w:rsid w:val="00A15D3B"/>
    <w:rsid w:val="00A16978"/>
    <w:rsid w:val="00A17D53"/>
    <w:rsid w:val="00A21C2D"/>
    <w:rsid w:val="00A22B15"/>
    <w:rsid w:val="00A23305"/>
    <w:rsid w:val="00A24E33"/>
    <w:rsid w:val="00A26268"/>
    <w:rsid w:val="00A26792"/>
    <w:rsid w:val="00A32EC0"/>
    <w:rsid w:val="00A3457A"/>
    <w:rsid w:val="00A361FC"/>
    <w:rsid w:val="00A43ABD"/>
    <w:rsid w:val="00A44C15"/>
    <w:rsid w:val="00A5061E"/>
    <w:rsid w:val="00A51102"/>
    <w:rsid w:val="00A52653"/>
    <w:rsid w:val="00A54C36"/>
    <w:rsid w:val="00A560DF"/>
    <w:rsid w:val="00A60373"/>
    <w:rsid w:val="00A61C84"/>
    <w:rsid w:val="00A71382"/>
    <w:rsid w:val="00A72ADE"/>
    <w:rsid w:val="00A736AB"/>
    <w:rsid w:val="00A740F4"/>
    <w:rsid w:val="00A74106"/>
    <w:rsid w:val="00A75A04"/>
    <w:rsid w:val="00A76CE3"/>
    <w:rsid w:val="00A7717E"/>
    <w:rsid w:val="00A818E1"/>
    <w:rsid w:val="00A81F80"/>
    <w:rsid w:val="00A82A77"/>
    <w:rsid w:val="00A82C11"/>
    <w:rsid w:val="00A83D56"/>
    <w:rsid w:val="00A8723B"/>
    <w:rsid w:val="00A87BBA"/>
    <w:rsid w:val="00A90424"/>
    <w:rsid w:val="00A906FB"/>
    <w:rsid w:val="00A9119A"/>
    <w:rsid w:val="00A95F88"/>
    <w:rsid w:val="00AA0679"/>
    <w:rsid w:val="00AA393D"/>
    <w:rsid w:val="00AA3FC4"/>
    <w:rsid w:val="00AA5AC8"/>
    <w:rsid w:val="00AA6B26"/>
    <w:rsid w:val="00AB200D"/>
    <w:rsid w:val="00AB291F"/>
    <w:rsid w:val="00AB672B"/>
    <w:rsid w:val="00AB6B05"/>
    <w:rsid w:val="00AC0FFA"/>
    <w:rsid w:val="00AC46D5"/>
    <w:rsid w:val="00AC7981"/>
    <w:rsid w:val="00AD6DAD"/>
    <w:rsid w:val="00AE13B2"/>
    <w:rsid w:val="00AE1DB2"/>
    <w:rsid w:val="00AF3205"/>
    <w:rsid w:val="00AF5FDF"/>
    <w:rsid w:val="00AF6B09"/>
    <w:rsid w:val="00AF7020"/>
    <w:rsid w:val="00B0144B"/>
    <w:rsid w:val="00B03ED7"/>
    <w:rsid w:val="00B03EF0"/>
    <w:rsid w:val="00B04BFA"/>
    <w:rsid w:val="00B04C50"/>
    <w:rsid w:val="00B05B26"/>
    <w:rsid w:val="00B05D05"/>
    <w:rsid w:val="00B0731E"/>
    <w:rsid w:val="00B07B0E"/>
    <w:rsid w:val="00B1150A"/>
    <w:rsid w:val="00B1152C"/>
    <w:rsid w:val="00B136B4"/>
    <w:rsid w:val="00B1559E"/>
    <w:rsid w:val="00B173A4"/>
    <w:rsid w:val="00B211B3"/>
    <w:rsid w:val="00B262DD"/>
    <w:rsid w:val="00B26ED2"/>
    <w:rsid w:val="00B279CE"/>
    <w:rsid w:val="00B32A23"/>
    <w:rsid w:val="00B3382E"/>
    <w:rsid w:val="00B33B74"/>
    <w:rsid w:val="00B34C2C"/>
    <w:rsid w:val="00B36382"/>
    <w:rsid w:val="00B40046"/>
    <w:rsid w:val="00B41B6A"/>
    <w:rsid w:val="00B44234"/>
    <w:rsid w:val="00B4765A"/>
    <w:rsid w:val="00B570BC"/>
    <w:rsid w:val="00B63790"/>
    <w:rsid w:val="00B6533B"/>
    <w:rsid w:val="00B65E44"/>
    <w:rsid w:val="00B7338E"/>
    <w:rsid w:val="00B77479"/>
    <w:rsid w:val="00B77BA0"/>
    <w:rsid w:val="00B80385"/>
    <w:rsid w:val="00B80A6B"/>
    <w:rsid w:val="00B812B7"/>
    <w:rsid w:val="00B82B0F"/>
    <w:rsid w:val="00B83F2D"/>
    <w:rsid w:val="00B85702"/>
    <w:rsid w:val="00B910EE"/>
    <w:rsid w:val="00B91E09"/>
    <w:rsid w:val="00B93993"/>
    <w:rsid w:val="00B93AC2"/>
    <w:rsid w:val="00B9482B"/>
    <w:rsid w:val="00B97368"/>
    <w:rsid w:val="00BA0703"/>
    <w:rsid w:val="00BA0F9D"/>
    <w:rsid w:val="00BA2C1A"/>
    <w:rsid w:val="00BA4C03"/>
    <w:rsid w:val="00BA5B6F"/>
    <w:rsid w:val="00BB21D7"/>
    <w:rsid w:val="00BB4E4E"/>
    <w:rsid w:val="00BB5303"/>
    <w:rsid w:val="00BB59A5"/>
    <w:rsid w:val="00BC11ED"/>
    <w:rsid w:val="00BC2945"/>
    <w:rsid w:val="00BC594E"/>
    <w:rsid w:val="00BC6A5D"/>
    <w:rsid w:val="00BD0976"/>
    <w:rsid w:val="00BD1D8B"/>
    <w:rsid w:val="00BD23CA"/>
    <w:rsid w:val="00BD32BD"/>
    <w:rsid w:val="00BD35A0"/>
    <w:rsid w:val="00BD46A7"/>
    <w:rsid w:val="00BD6F6D"/>
    <w:rsid w:val="00BD75DD"/>
    <w:rsid w:val="00BE0901"/>
    <w:rsid w:val="00BE1720"/>
    <w:rsid w:val="00BE1C05"/>
    <w:rsid w:val="00BE42E8"/>
    <w:rsid w:val="00BF5016"/>
    <w:rsid w:val="00BF7202"/>
    <w:rsid w:val="00C00F65"/>
    <w:rsid w:val="00C015F2"/>
    <w:rsid w:val="00C11EE6"/>
    <w:rsid w:val="00C122C3"/>
    <w:rsid w:val="00C122EB"/>
    <w:rsid w:val="00C123D2"/>
    <w:rsid w:val="00C142DF"/>
    <w:rsid w:val="00C14E9D"/>
    <w:rsid w:val="00C15087"/>
    <w:rsid w:val="00C15639"/>
    <w:rsid w:val="00C176BC"/>
    <w:rsid w:val="00C17EDC"/>
    <w:rsid w:val="00C203D4"/>
    <w:rsid w:val="00C23813"/>
    <w:rsid w:val="00C26CB5"/>
    <w:rsid w:val="00C3036E"/>
    <w:rsid w:val="00C327D2"/>
    <w:rsid w:val="00C34040"/>
    <w:rsid w:val="00C35074"/>
    <w:rsid w:val="00C3719A"/>
    <w:rsid w:val="00C41B95"/>
    <w:rsid w:val="00C42116"/>
    <w:rsid w:val="00C461A8"/>
    <w:rsid w:val="00C53101"/>
    <w:rsid w:val="00C5336C"/>
    <w:rsid w:val="00C55DA0"/>
    <w:rsid w:val="00C56B74"/>
    <w:rsid w:val="00C62CC0"/>
    <w:rsid w:val="00C674A5"/>
    <w:rsid w:val="00C71482"/>
    <w:rsid w:val="00C74CED"/>
    <w:rsid w:val="00C804E0"/>
    <w:rsid w:val="00C80B88"/>
    <w:rsid w:val="00C87127"/>
    <w:rsid w:val="00C97A2E"/>
    <w:rsid w:val="00CA14BB"/>
    <w:rsid w:val="00CA1FAC"/>
    <w:rsid w:val="00CB2872"/>
    <w:rsid w:val="00CB3B65"/>
    <w:rsid w:val="00CC1D73"/>
    <w:rsid w:val="00CC5507"/>
    <w:rsid w:val="00CD0D48"/>
    <w:rsid w:val="00CD476B"/>
    <w:rsid w:val="00CD5820"/>
    <w:rsid w:val="00CD6804"/>
    <w:rsid w:val="00CE06C7"/>
    <w:rsid w:val="00CE09BF"/>
    <w:rsid w:val="00CE57E4"/>
    <w:rsid w:val="00CE746C"/>
    <w:rsid w:val="00CE74E8"/>
    <w:rsid w:val="00CF1B57"/>
    <w:rsid w:val="00CF4869"/>
    <w:rsid w:val="00CF6CD7"/>
    <w:rsid w:val="00D01516"/>
    <w:rsid w:val="00D01585"/>
    <w:rsid w:val="00D01A68"/>
    <w:rsid w:val="00D105AD"/>
    <w:rsid w:val="00D109AF"/>
    <w:rsid w:val="00D10DE9"/>
    <w:rsid w:val="00D1277F"/>
    <w:rsid w:val="00D169CA"/>
    <w:rsid w:val="00D207FC"/>
    <w:rsid w:val="00D21E0F"/>
    <w:rsid w:val="00D22731"/>
    <w:rsid w:val="00D24692"/>
    <w:rsid w:val="00D24AB7"/>
    <w:rsid w:val="00D26482"/>
    <w:rsid w:val="00D304C6"/>
    <w:rsid w:val="00D307B1"/>
    <w:rsid w:val="00D345BC"/>
    <w:rsid w:val="00D34DAF"/>
    <w:rsid w:val="00D4258D"/>
    <w:rsid w:val="00D44931"/>
    <w:rsid w:val="00D467B6"/>
    <w:rsid w:val="00D46EA7"/>
    <w:rsid w:val="00D47491"/>
    <w:rsid w:val="00D47F17"/>
    <w:rsid w:val="00D5278A"/>
    <w:rsid w:val="00D539D2"/>
    <w:rsid w:val="00D65677"/>
    <w:rsid w:val="00D65770"/>
    <w:rsid w:val="00D65B44"/>
    <w:rsid w:val="00D66921"/>
    <w:rsid w:val="00D70F62"/>
    <w:rsid w:val="00D8006E"/>
    <w:rsid w:val="00D80B29"/>
    <w:rsid w:val="00D8703C"/>
    <w:rsid w:val="00D9136A"/>
    <w:rsid w:val="00D92A87"/>
    <w:rsid w:val="00D972F5"/>
    <w:rsid w:val="00D97451"/>
    <w:rsid w:val="00D9751A"/>
    <w:rsid w:val="00DA1E5F"/>
    <w:rsid w:val="00DA261A"/>
    <w:rsid w:val="00DB3A38"/>
    <w:rsid w:val="00DB4DB5"/>
    <w:rsid w:val="00DB63E0"/>
    <w:rsid w:val="00DC00E7"/>
    <w:rsid w:val="00DD2746"/>
    <w:rsid w:val="00DD71D5"/>
    <w:rsid w:val="00DD71ED"/>
    <w:rsid w:val="00DE035B"/>
    <w:rsid w:val="00DE6A9E"/>
    <w:rsid w:val="00DF135E"/>
    <w:rsid w:val="00DF4719"/>
    <w:rsid w:val="00DF522C"/>
    <w:rsid w:val="00DF54DB"/>
    <w:rsid w:val="00DF627B"/>
    <w:rsid w:val="00DF629C"/>
    <w:rsid w:val="00E02FA8"/>
    <w:rsid w:val="00E041D3"/>
    <w:rsid w:val="00E10B96"/>
    <w:rsid w:val="00E1784D"/>
    <w:rsid w:val="00E21107"/>
    <w:rsid w:val="00E23325"/>
    <w:rsid w:val="00E30D1F"/>
    <w:rsid w:val="00E3190F"/>
    <w:rsid w:val="00E31C72"/>
    <w:rsid w:val="00E32519"/>
    <w:rsid w:val="00E36958"/>
    <w:rsid w:val="00E37399"/>
    <w:rsid w:val="00E379DE"/>
    <w:rsid w:val="00E41034"/>
    <w:rsid w:val="00E42DA3"/>
    <w:rsid w:val="00E436A9"/>
    <w:rsid w:val="00E43D22"/>
    <w:rsid w:val="00E54B2D"/>
    <w:rsid w:val="00E636B7"/>
    <w:rsid w:val="00E652F4"/>
    <w:rsid w:val="00E65F19"/>
    <w:rsid w:val="00E728E6"/>
    <w:rsid w:val="00E81A18"/>
    <w:rsid w:val="00E81DC1"/>
    <w:rsid w:val="00E8350C"/>
    <w:rsid w:val="00E83E20"/>
    <w:rsid w:val="00E87576"/>
    <w:rsid w:val="00E93630"/>
    <w:rsid w:val="00E93D2B"/>
    <w:rsid w:val="00E94440"/>
    <w:rsid w:val="00EA0F8E"/>
    <w:rsid w:val="00EA2C7E"/>
    <w:rsid w:val="00EA33D1"/>
    <w:rsid w:val="00EA5D68"/>
    <w:rsid w:val="00EA604E"/>
    <w:rsid w:val="00EA7ECC"/>
    <w:rsid w:val="00EA7FE2"/>
    <w:rsid w:val="00EB02AB"/>
    <w:rsid w:val="00EB1531"/>
    <w:rsid w:val="00EB16A8"/>
    <w:rsid w:val="00EB26A4"/>
    <w:rsid w:val="00EB3EFB"/>
    <w:rsid w:val="00EB3FC6"/>
    <w:rsid w:val="00EB6DCB"/>
    <w:rsid w:val="00EC1328"/>
    <w:rsid w:val="00EC49DB"/>
    <w:rsid w:val="00EC5073"/>
    <w:rsid w:val="00EC61F8"/>
    <w:rsid w:val="00ED0A3F"/>
    <w:rsid w:val="00ED1873"/>
    <w:rsid w:val="00ED220D"/>
    <w:rsid w:val="00ED23C8"/>
    <w:rsid w:val="00ED327D"/>
    <w:rsid w:val="00ED3415"/>
    <w:rsid w:val="00ED35F3"/>
    <w:rsid w:val="00ED424F"/>
    <w:rsid w:val="00ED4F7D"/>
    <w:rsid w:val="00ED7E62"/>
    <w:rsid w:val="00EE038B"/>
    <w:rsid w:val="00EE3217"/>
    <w:rsid w:val="00EE3310"/>
    <w:rsid w:val="00EE4ABE"/>
    <w:rsid w:val="00EE4D73"/>
    <w:rsid w:val="00EF1A40"/>
    <w:rsid w:val="00EF4CBD"/>
    <w:rsid w:val="00F00E84"/>
    <w:rsid w:val="00F0200F"/>
    <w:rsid w:val="00F03DE7"/>
    <w:rsid w:val="00F041F5"/>
    <w:rsid w:val="00F058BC"/>
    <w:rsid w:val="00F1244E"/>
    <w:rsid w:val="00F12BFF"/>
    <w:rsid w:val="00F153A4"/>
    <w:rsid w:val="00F1750E"/>
    <w:rsid w:val="00F258CD"/>
    <w:rsid w:val="00F325BD"/>
    <w:rsid w:val="00F328EE"/>
    <w:rsid w:val="00F33C67"/>
    <w:rsid w:val="00F342A4"/>
    <w:rsid w:val="00F34CCA"/>
    <w:rsid w:val="00F37911"/>
    <w:rsid w:val="00F411A4"/>
    <w:rsid w:val="00F42FB5"/>
    <w:rsid w:val="00F45DEA"/>
    <w:rsid w:val="00F47C68"/>
    <w:rsid w:val="00F47FA6"/>
    <w:rsid w:val="00F50007"/>
    <w:rsid w:val="00F50204"/>
    <w:rsid w:val="00F50B13"/>
    <w:rsid w:val="00F5284E"/>
    <w:rsid w:val="00F560F9"/>
    <w:rsid w:val="00F5677F"/>
    <w:rsid w:val="00F60B1F"/>
    <w:rsid w:val="00F61CBA"/>
    <w:rsid w:val="00F62E3D"/>
    <w:rsid w:val="00F6515F"/>
    <w:rsid w:val="00F7164B"/>
    <w:rsid w:val="00F73568"/>
    <w:rsid w:val="00F749DB"/>
    <w:rsid w:val="00F77FBF"/>
    <w:rsid w:val="00F80F24"/>
    <w:rsid w:val="00F819FE"/>
    <w:rsid w:val="00F81E98"/>
    <w:rsid w:val="00F9315E"/>
    <w:rsid w:val="00F95E95"/>
    <w:rsid w:val="00FA0496"/>
    <w:rsid w:val="00FA453D"/>
    <w:rsid w:val="00FA673B"/>
    <w:rsid w:val="00FA6828"/>
    <w:rsid w:val="00FA7528"/>
    <w:rsid w:val="00FA7A69"/>
    <w:rsid w:val="00FA7D3E"/>
    <w:rsid w:val="00FB1329"/>
    <w:rsid w:val="00FB184B"/>
    <w:rsid w:val="00FB589A"/>
    <w:rsid w:val="00FB62B3"/>
    <w:rsid w:val="00FB7D06"/>
    <w:rsid w:val="00FC22EE"/>
    <w:rsid w:val="00FC34DF"/>
    <w:rsid w:val="00FD1CA8"/>
    <w:rsid w:val="00FD34C9"/>
    <w:rsid w:val="00FD53DD"/>
    <w:rsid w:val="00FE498A"/>
    <w:rsid w:val="00FE4E4F"/>
    <w:rsid w:val="00FE6B1B"/>
    <w:rsid w:val="00FE6CD6"/>
    <w:rsid w:val="00FE7ACA"/>
    <w:rsid w:val="00FF0857"/>
    <w:rsid w:val="00FF20EB"/>
    <w:rsid w:val="00FF38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536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8E1"/>
    <w:pPr>
      <w:spacing w:after="180" w:line="240" w:lineRule="auto"/>
    </w:pPr>
    <w:rPr>
      <w:rFonts w:ascii="Times New Roman" w:eastAsia="PMingLiU" w:hAnsi="Times New Roman" w:cs="Times New Roman"/>
      <w:sz w:val="20"/>
      <w:szCs w:val="20"/>
      <w:lang w:val="en-GB" w:eastAsia="en-US"/>
    </w:rPr>
  </w:style>
  <w:style w:type="paragraph" w:styleId="Heading1">
    <w:name w:val="heading 1"/>
    <w:next w:val="Normal"/>
    <w:link w:val="Heading1Char"/>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qFormat/>
    <w:rsid w:val="002D1FB0"/>
    <w:pPr>
      <w:keepNext/>
      <w:keepLines/>
      <w:numPr>
        <w:ilvl w:val="6"/>
        <w:numId w:val="1"/>
      </w:numPr>
      <w:spacing w:before="120"/>
      <w:outlineLvl w:val="6"/>
    </w:pPr>
    <w:rPr>
      <w:rFonts w:ascii="Arial" w:hAnsi="Arial"/>
      <w:lang w:eastAsia="zh-TW"/>
    </w:rPr>
  </w:style>
  <w:style w:type="paragraph" w:styleId="Heading8">
    <w:name w:val="heading 8"/>
    <w:basedOn w:val="Heading1"/>
    <w:next w:val="Normal"/>
    <w:link w:val="Heading8Char"/>
    <w:qFormat/>
    <w:rsid w:val="002D1FB0"/>
    <w:pPr>
      <w:numPr>
        <w:ilvl w:val="7"/>
      </w:numPr>
      <w:outlineLvl w:val="7"/>
    </w:pPr>
  </w:style>
  <w:style w:type="paragraph" w:styleId="Heading9">
    <w:name w:val="heading 9"/>
    <w:basedOn w:val="Heading8"/>
    <w:next w:val="Normal"/>
    <w:link w:val="Heading9Char"/>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FB0"/>
    <w:rPr>
      <w:rFonts w:ascii="Arial" w:eastAsia="PMingLiU" w:hAnsi="Arial" w:cs="Times New Roman"/>
      <w:sz w:val="36"/>
      <w:szCs w:val="20"/>
      <w:lang w:val="en-GB"/>
    </w:rPr>
  </w:style>
  <w:style w:type="character" w:customStyle="1" w:styleId="Heading2Char">
    <w:name w:val="Heading 2 Char"/>
    <w:basedOn w:val="DefaultParagraphFont"/>
    <w:link w:val="Heading2"/>
    <w:rsid w:val="002D1FB0"/>
    <w:rPr>
      <w:rFonts w:ascii="Arial" w:eastAsia="PMingLiU" w:hAnsi="Arial" w:cs="Times New Roman"/>
      <w:sz w:val="32"/>
      <w:szCs w:val="20"/>
      <w:lang w:val="en-GB"/>
    </w:rPr>
  </w:style>
  <w:style w:type="character" w:customStyle="1" w:styleId="Heading3Char">
    <w:name w:val="Heading 3 Char"/>
    <w:basedOn w:val="DefaultParagraphFont"/>
    <w:link w:val="Heading3"/>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1FB0"/>
    <w:rPr>
      <w:rFonts w:ascii="Arial" w:eastAsia="PMingLiU" w:hAnsi="Arial" w:cs="Times New Roman"/>
      <w:sz w:val="24"/>
      <w:szCs w:val="20"/>
      <w:lang w:val="en-GB"/>
    </w:rPr>
  </w:style>
  <w:style w:type="character" w:customStyle="1" w:styleId="Heading5Char">
    <w:name w:val="Heading 5 Char"/>
    <w:basedOn w:val="DefaultParagraphFont"/>
    <w:link w:val="Heading5"/>
    <w:rsid w:val="002D1FB0"/>
    <w:rPr>
      <w:rFonts w:ascii="Arial" w:eastAsia="PMingLiU" w:hAnsi="Arial" w:cs="Times New Roman"/>
      <w:szCs w:val="20"/>
      <w:lang w:val="en-GB"/>
    </w:rPr>
  </w:style>
  <w:style w:type="character" w:customStyle="1" w:styleId="Heading6Char">
    <w:name w:val="Heading 6 Char"/>
    <w:basedOn w:val="DefaultParagraphFont"/>
    <w:link w:val="Heading6"/>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qFormat/>
    <w:rsid w:val="002D1FB0"/>
    <w:rPr>
      <w:sz w:val="16"/>
      <w:szCs w:val="16"/>
    </w:rPr>
  </w:style>
  <w:style w:type="paragraph" w:styleId="CommentText">
    <w:name w:val="annotation text"/>
    <w:basedOn w:val="Normal"/>
    <w:link w:val="CommentTextChar"/>
    <w:uiPriority w:val="99"/>
    <w:unhideWhenUsed/>
    <w:qFormat/>
    <w:rsid w:val="002D1FB0"/>
  </w:style>
  <w:style w:type="character" w:customStyle="1" w:styleId="CommentTextChar">
    <w:name w:val="Comment Text Char"/>
    <w:basedOn w:val="DefaultParagraphFont"/>
    <w:link w:val="CommentText"/>
    <w:uiPriority w:val="99"/>
    <w:qFormat/>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paragraph" w:customStyle="1" w:styleId="LGTdoc">
    <w:name w:val="LGTdoc_본문"/>
    <w:basedOn w:val="Normal"/>
    <w:link w:val="LGTdocChar"/>
    <w:qFormat/>
    <w:rsid w:val="00F47F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7FA6"/>
    <w:rPr>
      <w:rFonts w:ascii="Times New Roman" w:eastAsia="Batang" w:hAnsi="Times New Roman" w:cs="Times New Roman"/>
      <w:kern w:val="2"/>
      <w:szCs w:val="24"/>
      <w:lang w:val="en-GB" w:eastAsia="ko-KR"/>
    </w:rPr>
  </w:style>
  <w:style w:type="character" w:styleId="PlaceholderText">
    <w:name w:val="Placeholder Text"/>
    <w:basedOn w:val="DefaultParagraphFont"/>
    <w:uiPriority w:val="99"/>
    <w:semiHidden/>
    <w:rsid w:val="00A82A77"/>
    <w:rPr>
      <w:color w:val="808080"/>
    </w:rPr>
  </w:style>
  <w:style w:type="table" w:styleId="TableGrid">
    <w:name w:val="Table Grid"/>
    <w:basedOn w:val="TableNormal"/>
    <w:uiPriority w:val="39"/>
    <w:rsid w:val="004B7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01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01585"/>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74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462AC-912A-4628-94D1-3F0A68E93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2947</Words>
  <Characters>16800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2019-08-17T00:20:00Z</dcterms:created>
  <dcterms:modified xsi:type="dcterms:W3CDTF">2019-08-17T00:29:00Z</dcterms:modified>
</cp:coreProperties>
</file>